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4294" w14:textId="77777777" w:rsidR="00DE6176" w:rsidRDefault="00DE6176" w:rsidP="00DE6176">
      <w:pPr>
        <w:spacing w:before="240" w:after="0"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6BC8E8F3" w14:textId="77777777" w:rsidR="00DE6176" w:rsidRPr="00943749" w:rsidRDefault="00DE6176" w:rsidP="00DE6176">
      <w:pPr>
        <w:spacing w:before="240" w:after="0" w:line="240" w:lineRule="auto"/>
        <w:jc w:val="center"/>
        <w:rPr>
          <w:rFonts w:ascii="Times New Roman" w:hAnsi="Times New Roman"/>
          <w:b/>
          <w:sz w:val="24"/>
          <w:szCs w:val="24"/>
        </w:rPr>
      </w:pPr>
      <w:r w:rsidRPr="00943749">
        <w:rPr>
          <w:rFonts w:ascii="Times New Roman" w:hAnsi="Times New Roman"/>
          <w:b/>
          <w:sz w:val="24"/>
          <w:szCs w:val="24"/>
        </w:rPr>
        <w:t>NOTIFICATION</w:t>
      </w:r>
    </w:p>
    <w:p w14:paraId="159DB388" w14:textId="77777777" w:rsidR="00DE6176" w:rsidRPr="00943749" w:rsidRDefault="00DE6176" w:rsidP="00DE6176">
      <w:pPr>
        <w:spacing w:before="240" w:after="0" w:line="240" w:lineRule="auto"/>
        <w:jc w:val="center"/>
        <w:rPr>
          <w:rFonts w:ascii="Times New Roman" w:hAnsi="Times New Roman"/>
          <w:sz w:val="24"/>
          <w:szCs w:val="24"/>
        </w:rPr>
      </w:pPr>
      <w:r>
        <w:rPr>
          <w:rFonts w:ascii="Times New Roman" w:hAnsi="Times New Roman"/>
          <w:sz w:val="24"/>
          <w:szCs w:val="24"/>
        </w:rPr>
        <w:t>New Delhi, the 26</w:t>
      </w:r>
      <w:r w:rsidRPr="00943749">
        <w:rPr>
          <w:rFonts w:ascii="Times New Roman" w:hAnsi="Times New Roman"/>
          <w:sz w:val="24"/>
          <w:szCs w:val="24"/>
          <w:vertAlign w:val="superscript"/>
        </w:rPr>
        <w:t>th</w:t>
      </w:r>
      <w:r>
        <w:rPr>
          <w:rFonts w:ascii="Times New Roman" w:hAnsi="Times New Roman"/>
          <w:sz w:val="24"/>
          <w:szCs w:val="24"/>
        </w:rPr>
        <w:t xml:space="preserve"> November, 2007</w:t>
      </w:r>
    </w:p>
    <w:p w14:paraId="5DFD289E" w14:textId="4487A401" w:rsidR="00DE6176" w:rsidRPr="00943749" w:rsidRDefault="00DE6176" w:rsidP="00DE6176">
      <w:pPr>
        <w:spacing w:before="240" w:after="0" w:line="240" w:lineRule="auto"/>
        <w:jc w:val="both"/>
        <w:rPr>
          <w:rFonts w:ascii="Times New Roman" w:hAnsi="Times New Roman"/>
          <w:sz w:val="24"/>
          <w:szCs w:val="24"/>
        </w:rPr>
      </w:pPr>
      <w:r w:rsidRPr="00943749">
        <w:rPr>
          <w:rFonts w:ascii="Times New Roman" w:hAnsi="Times New Roman"/>
          <w:b/>
          <w:sz w:val="24"/>
          <w:szCs w:val="24"/>
        </w:rPr>
        <w:t>G.S.R. 732(E) –</w:t>
      </w:r>
      <w:r w:rsidRPr="00943749">
        <w:rPr>
          <w:rFonts w:ascii="Times New Roman" w:hAnsi="Times New Roman"/>
          <w:sz w:val="24"/>
          <w:szCs w:val="24"/>
        </w:rPr>
        <w:t xml:space="preserve"> In exercise of the powers conferred by clause (g) of Sub-section (2) of Section 61 of the Petroleum and Natural Gas Regulatory Board Act, 2006 (19 of 2006), the Petroleum and Natural Gas Regulatory Board hereby makes the following regulations, </w:t>
      </w:r>
      <w:r w:rsidR="00C64B8E" w:rsidRPr="00943749">
        <w:rPr>
          <w:rFonts w:ascii="Times New Roman" w:hAnsi="Times New Roman"/>
          <w:sz w:val="24"/>
          <w:szCs w:val="24"/>
        </w:rPr>
        <w:t>namely: -</w:t>
      </w:r>
    </w:p>
    <w:p w14:paraId="540C28C9" w14:textId="5773BB30" w:rsidR="00DE6176"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 xml:space="preserve">Short title and </w:t>
      </w:r>
      <w:r w:rsidR="00C64B8E" w:rsidRPr="00943749">
        <w:rPr>
          <w:rFonts w:ascii="Times New Roman" w:hAnsi="Times New Roman"/>
          <w:b/>
          <w:sz w:val="24"/>
          <w:szCs w:val="24"/>
        </w:rPr>
        <w:t>commencement</w:t>
      </w:r>
      <w:r w:rsidR="00C64B8E">
        <w:rPr>
          <w:rFonts w:ascii="Times New Roman" w:hAnsi="Times New Roman"/>
          <w:b/>
          <w:sz w:val="24"/>
          <w:szCs w:val="24"/>
        </w:rPr>
        <w:t>.</w:t>
      </w:r>
      <w:r w:rsidR="00C64B8E" w:rsidRPr="00943749">
        <w:rPr>
          <w:rFonts w:ascii="Times New Roman" w:hAnsi="Times New Roman"/>
          <w:b/>
          <w:sz w:val="24"/>
          <w:szCs w:val="24"/>
        </w:rPr>
        <w:t xml:space="preserve"> –</w:t>
      </w:r>
      <w:r w:rsidRPr="00943749">
        <w:rPr>
          <w:rFonts w:ascii="Times New Roman" w:hAnsi="Times New Roman"/>
          <w:b/>
          <w:sz w:val="24"/>
          <w:szCs w:val="24"/>
        </w:rPr>
        <w:t xml:space="preserve"> </w:t>
      </w:r>
    </w:p>
    <w:p w14:paraId="71859CBB" w14:textId="77777777" w:rsidR="00DE6176"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may be called the Petroleum and Natural Gas Regulatory Board (Levy of Fee and Other Charges) Regulations, 2007.</w:t>
      </w:r>
    </w:p>
    <w:p w14:paraId="2DDA997C" w14:textId="77777777" w:rsidR="00DE6176" w:rsidRPr="00BB1015"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shall come into force on the date of their publication in the Official Gazette.</w:t>
      </w:r>
    </w:p>
    <w:p w14:paraId="363F0516" w14:textId="4AC8A39C" w:rsidR="00DE6176" w:rsidRPr="00943749"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Definitions –</w:t>
      </w:r>
      <w:r w:rsidRPr="00943749">
        <w:rPr>
          <w:rFonts w:ascii="Times New Roman" w:hAnsi="Times New Roman"/>
          <w:sz w:val="24"/>
          <w:szCs w:val="24"/>
        </w:rPr>
        <w:t xml:space="preserve"> In these regulations, unless the context otherwise </w:t>
      </w:r>
      <w:r w:rsidR="00C64B8E" w:rsidRPr="00943749">
        <w:rPr>
          <w:rFonts w:ascii="Times New Roman" w:hAnsi="Times New Roman"/>
          <w:sz w:val="24"/>
          <w:szCs w:val="24"/>
        </w:rPr>
        <w:t>requires</w:t>
      </w:r>
      <w:r w:rsidR="00C64B8E">
        <w:rPr>
          <w:rFonts w:ascii="Times New Roman" w:hAnsi="Times New Roman"/>
          <w:sz w:val="24"/>
          <w:szCs w:val="24"/>
        </w:rPr>
        <w:t>,</w:t>
      </w:r>
      <w:r w:rsidR="00C64B8E" w:rsidRPr="00943749">
        <w:rPr>
          <w:rFonts w:ascii="Times New Roman" w:hAnsi="Times New Roman"/>
          <w:sz w:val="24"/>
          <w:szCs w:val="24"/>
        </w:rPr>
        <w:t xml:space="preserve"> –</w:t>
      </w:r>
    </w:p>
    <w:p w14:paraId="2AB2EB12" w14:textId="77777777" w:rsidR="00DE6176" w:rsidRPr="00943749"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“Act” means the Petroleum and Natural Gas Regulatory Board Act, 2006;</w:t>
      </w:r>
    </w:p>
    <w:p w14:paraId="2CF0CF5B" w14:textId="1265B384" w:rsidR="00DE6176"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 xml:space="preserve">“Board” means the Petroleum and Natural Gas Regulatory Board established under Sub-section (1) of Section 3 of the Act; and </w:t>
      </w:r>
    </w:p>
    <w:p w14:paraId="3CBA4E7A" w14:textId="77777777" w:rsidR="00DE6176" w:rsidRDefault="00DE6176" w:rsidP="00DE6176">
      <w:pPr>
        <w:spacing w:after="0"/>
        <w:ind w:left="993" w:right="34" w:hanging="284"/>
        <w:jc w:val="both"/>
        <w:rPr>
          <w:rFonts w:ascii="Times New Roman" w:hAnsi="Times New Roman"/>
          <w:sz w:val="24"/>
          <w:szCs w:val="24"/>
        </w:rPr>
      </w:pPr>
      <w:r w:rsidRPr="00DE6176">
        <w:rPr>
          <w:rFonts w:ascii="Times New Roman" w:hAnsi="Times New Roman"/>
          <w:sz w:val="24"/>
          <w:szCs w:val="24"/>
        </w:rPr>
        <w:t xml:space="preserve"> </w:t>
      </w:r>
    </w:p>
    <w:p w14:paraId="1FC07D6E" w14:textId="3BB61D17" w:rsidR="00901B98" w:rsidRDefault="00DE6176" w:rsidP="00901B98">
      <w:pPr>
        <w:spacing w:after="0"/>
        <w:ind w:left="993" w:right="34" w:hanging="284"/>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DE6176">
        <w:rPr>
          <w:rFonts w:ascii="Times New Roman" w:hAnsi="Times New Roman"/>
          <w:sz w:val="24"/>
          <w:szCs w:val="24"/>
        </w:rPr>
        <w:t>(c) All other words and expressions used and not defined in these regulations but defined in the Act or other regulations shall have the meanings respectively assigned to them in the Act or the other regulations, as the case may be</w:t>
      </w:r>
      <w:r>
        <w:rPr>
          <w:rFonts w:ascii="Times New Roman" w:hAnsi="Times New Roman"/>
          <w:sz w:val="24"/>
          <w:szCs w:val="24"/>
        </w:rPr>
        <w:t>.]</w:t>
      </w:r>
      <w:r w:rsidRPr="00DE6176">
        <w:rPr>
          <w:rFonts w:ascii="Times New Roman" w:hAnsi="Times New Roman"/>
          <w:sz w:val="24"/>
          <w:szCs w:val="24"/>
        </w:rPr>
        <w:t xml:space="preserve"> </w:t>
      </w:r>
    </w:p>
    <w:p w14:paraId="644445ED" w14:textId="43C1D89B" w:rsidR="00DE6176" w:rsidRPr="00ED392C" w:rsidRDefault="00DE6176" w:rsidP="00DE6176">
      <w:pPr>
        <w:widowControl w:val="0"/>
        <w:autoSpaceDE w:val="0"/>
        <w:autoSpaceDN w:val="0"/>
        <w:adjustRightInd w:val="0"/>
        <w:spacing w:before="240" w:after="0" w:line="240" w:lineRule="auto"/>
        <w:ind w:left="284" w:hanging="11"/>
        <w:jc w:val="both"/>
        <w:rPr>
          <w:rFonts w:ascii="Times New Roman" w:hAnsi="Times New Roman"/>
          <w:sz w:val="24"/>
          <w:szCs w:val="24"/>
        </w:rPr>
      </w:pPr>
      <w:r>
        <w:rPr>
          <w:rStyle w:val="FootnoteReference"/>
          <w:rFonts w:ascii="Times New Roman" w:hAnsi="Times New Roman"/>
          <w:b/>
          <w:sz w:val="24"/>
          <w:szCs w:val="24"/>
        </w:rPr>
        <w:footnoteReference w:id="2"/>
      </w:r>
      <w:r>
        <w:rPr>
          <w:rFonts w:ascii="Times New Roman" w:hAnsi="Times New Roman"/>
          <w:b/>
          <w:sz w:val="24"/>
          <w:szCs w:val="24"/>
        </w:rPr>
        <w:t>[</w:t>
      </w:r>
      <w:r>
        <w:rPr>
          <w:rFonts w:ascii="Times New Roman" w:hAnsi="Times New Roman"/>
          <w:b/>
          <w:bCs/>
          <w:spacing w:val="1"/>
          <w:sz w:val="24"/>
          <w:szCs w:val="24"/>
        </w:rPr>
        <w:t xml:space="preserve">3. </w:t>
      </w:r>
      <w:r w:rsidRPr="00ED392C">
        <w:rPr>
          <w:rFonts w:ascii="Times New Roman" w:hAnsi="Times New Roman"/>
          <w:b/>
          <w:bCs/>
          <w:sz w:val="24"/>
          <w:szCs w:val="24"/>
        </w:rPr>
        <w:t>L</w:t>
      </w:r>
      <w:r w:rsidRPr="00ED392C">
        <w:rPr>
          <w:rFonts w:ascii="Times New Roman" w:hAnsi="Times New Roman"/>
          <w:b/>
          <w:bCs/>
          <w:spacing w:val="-2"/>
          <w:sz w:val="24"/>
          <w:szCs w:val="24"/>
        </w:rPr>
        <w:t>e</w:t>
      </w:r>
      <w:r w:rsidRPr="00ED392C">
        <w:rPr>
          <w:rFonts w:ascii="Times New Roman" w:hAnsi="Times New Roman"/>
          <w:b/>
          <w:bCs/>
          <w:spacing w:val="-1"/>
          <w:sz w:val="24"/>
          <w:szCs w:val="24"/>
        </w:rPr>
        <w:t>v</w:t>
      </w:r>
      <w:r w:rsidRPr="00ED392C">
        <w:rPr>
          <w:rFonts w:ascii="Times New Roman" w:hAnsi="Times New Roman"/>
          <w:b/>
          <w:bCs/>
          <w:sz w:val="24"/>
          <w:szCs w:val="24"/>
        </w:rPr>
        <w:t>y</w:t>
      </w:r>
      <w:r>
        <w:rPr>
          <w:rFonts w:ascii="Times New Roman" w:hAnsi="Times New Roman"/>
          <w:b/>
          <w:bCs/>
          <w:sz w:val="24"/>
          <w:szCs w:val="24"/>
        </w:rPr>
        <w:t xml:space="preserve"> </w:t>
      </w:r>
      <w:r w:rsidRPr="00ED392C">
        <w:rPr>
          <w:rFonts w:ascii="Times New Roman" w:hAnsi="Times New Roman"/>
          <w:b/>
          <w:bCs/>
          <w:spacing w:val="1"/>
          <w:sz w:val="24"/>
          <w:szCs w:val="24"/>
        </w:rPr>
        <w:t>o</w:t>
      </w:r>
      <w:r w:rsidRPr="00ED392C">
        <w:rPr>
          <w:rFonts w:ascii="Times New Roman" w:hAnsi="Times New Roman"/>
          <w:b/>
          <w:bCs/>
          <w:sz w:val="24"/>
          <w:szCs w:val="24"/>
        </w:rPr>
        <w:t>f</w:t>
      </w:r>
      <w:r>
        <w:rPr>
          <w:rFonts w:ascii="Times New Roman" w:hAnsi="Times New Roman"/>
          <w:b/>
          <w:bCs/>
          <w:sz w:val="24"/>
          <w:szCs w:val="24"/>
        </w:rPr>
        <w:t xml:space="preserve"> </w:t>
      </w:r>
      <w:r w:rsidRPr="00ED392C">
        <w:rPr>
          <w:rFonts w:ascii="Times New Roman" w:hAnsi="Times New Roman"/>
          <w:b/>
          <w:bCs/>
          <w:spacing w:val="-1"/>
          <w:sz w:val="24"/>
          <w:szCs w:val="24"/>
        </w:rPr>
        <w:t>F</w:t>
      </w:r>
      <w:r w:rsidRPr="00ED392C">
        <w:rPr>
          <w:rFonts w:ascii="Times New Roman" w:hAnsi="Times New Roman"/>
          <w:b/>
          <w:bCs/>
          <w:sz w:val="24"/>
          <w:szCs w:val="24"/>
        </w:rPr>
        <w:t>ee.---</w:t>
      </w:r>
      <w:r w:rsidRPr="00ED392C">
        <w:rPr>
          <w:rFonts w:ascii="Times New Roman" w:hAnsi="Times New Roman"/>
          <w:spacing w:val="-2"/>
          <w:sz w:val="24"/>
          <w:szCs w:val="24"/>
        </w:rPr>
        <w:t>(</w:t>
      </w:r>
      <w:r w:rsidRPr="00ED392C">
        <w:rPr>
          <w:rFonts w:ascii="Times New Roman" w:hAnsi="Times New Roman"/>
          <w:spacing w:val="1"/>
          <w:sz w:val="24"/>
          <w:szCs w:val="24"/>
        </w:rPr>
        <w:t>1</w:t>
      </w:r>
      <w:r w:rsidRPr="00ED392C">
        <w:rPr>
          <w:rFonts w:ascii="Times New Roman" w:hAnsi="Times New Roman"/>
          <w:sz w:val="24"/>
          <w:szCs w:val="24"/>
        </w:rPr>
        <w:t>)</w:t>
      </w:r>
      <w:r w:rsidRPr="00ED392C">
        <w:rPr>
          <w:rFonts w:ascii="Times New Roman" w:hAnsi="Times New Roman"/>
          <w:spacing w:val="-1"/>
          <w:sz w:val="24"/>
          <w:szCs w:val="24"/>
        </w:rPr>
        <w:t>E</w:t>
      </w:r>
      <w:r w:rsidRPr="00ED392C">
        <w:rPr>
          <w:rFonts w:ascii="Times New Roman" w:hAnsi="Times New Roman"/>
          <w:spacing w:val="1"/>
          <w:sz w:val="24"/>
          <w:szCs w:val="24"/>
        </w:rPr>
        <w:t>v</w:t>
      </w:r>
      <w:r w:rsidRPr="00ED392C">
        <w:rPr>
          <w:rFonts w:ascii="Times New Roman" w:hAnsi="Times New Roman"/>
          <w:sz w:val="24"/>
          <w:szCs w:val="24"/>
        </w:rPr>
        <w:t>ery</w:t>
      </w:r>
      <w:r>
        <w:rPr>
          <w:rFonts w:ascii="Times New Roman" w:hAnsi="Times New Roman"/>
          <w:sz w:val="24"/>
          <w:szCs w:val="24"/>
        </w:rPr>
        <w:t xml:space="preserve"> </w:t>
      </w:r>
      <w:r w:rsidRPr="00ED392C">
        <w:rPr>
          <w:rFonts w:ascii="Times New Roman" w:hAnsi="Times New Roman"/>
          <w:sz w:val="24"/>
          <w:szCs w:val="24"/>
        </w:rPr>
        <w:t>a</w:t>
      </w:r>
      <w:r w:rsidRPr="00ED392C">
        <w:rPr>
          <w:rFonts w:ascii="Times New Roman" w:hAnsi="Times New Roman"/>
          <w:spacing w:val="1"/>
          <w:sz w:val="24"/>
          <w:szCs w:val="24"/>
        </w:rPr>
        <w:t>p</w:t>
      </w:r>
      <w:r w:rsidRPr="00ED392C">
        <w:rPr>
          <w:rFonts w:ascii="Times New Roman" w:hAnsi="Times New Roman"/>
          <w:spacing w:val="-1"/>
          <w:sz w:val="24"/>
          <w:szCs w:val="24"/>
        </w:rPr>
        <w:t>pl</w:t>
      </w:r>
      <w:r w:rsidRPr="00ED392C">
        <w:rPr>
          <w:rFonts w:ascii="Times New Roman" w:hAnsi="Times New Roman"/>
          <w:spacing w:val="1"/>
          <w:sz w:val="24"/>
          <w:szCs w:val="24"/>
        </w:rPr>
        <w:t>i</w:t>
      </w:r>
      <w:r w:rsidRPr="00ED392C">
        <w:rPr>
          <w:rFonts w:ascii="Times New Roman" w:hAnsi="Times New Roman"/>
          <w:sz w:val="24"/>
          <w:szCs w:val="24"/>
        </w:rPr>
        <w:t>c</w:t>
      </w:r>
      <w:r w:rsidRPr="00ED392C">
        <w:rPr>
          <w:rFonts w:ascii="Times New Roman" w:hAnsi="Times New Roman"/>
          <w:spacing w:val="-2"/>
          <w:sz w:val="24"/>
          <w:szCs w:val="24"/>
        </w:rPr>
        <w:t>a</w:t>
      </w:r>
      <w:r w:rsidRPr="00ED392C">
        <w:rPr>
          <w:rFonts w:ascii="Times New Roman" w:hAnsi="Times New Roman"/>
          <w:spacing w:val="1"/>
          <w:sz w:val="24"/>
          <w:szCs w:val="24"/>
        </w:rPr>
        <w:t>t</w:t>
      </w:r>
      <w:r w:rsidRPr="00ED392C">
        <w:rPr>
          <w:rFonts w:ascii="Times New Roman" w:hAnsi="Times New Roman"/>
          <w:spacing w:val="-1"/>
          <w:sz w:val="24"/>
          <w:szCs w:val="24"/>
        </w:rPr>
        <w:t>io</w:t>
      </w:r>
      <w:r w:rsidRPr="00ED392C">
        <w:rPr>
          <w:rFonts w:ascii="Times New Roman" w:hAnsi="Times New Roman"/>
          <w:sz w:val="24"/>
          <w:szCs w:val="24"/>
        </w:rPr>
        <w:t>n</w:t>
      </w:r>
      <w:r>
        <w:rPr>
          <w:rFonts w:ascii="Times New Roman" w:hAnsi="Times New Roman"/>
          <w:sz w:val="24"/>
          <w:szCs w:val="24"/>
        </w:rPr>
        <w:t xml:space="preserve"> </w:t>
      </w:r>
      <w:r w:rsidRPr="00ED392C">
        <w:rPr>
          <w:rFonts w:ascii="Times New Roman" w:hAnsi="Times New Roman"/>
          <w:spacing w:val="1"/>
          <w:sz w:val="24"/>
          <w:szCs w:val="24"/>
        </w:rPr>
        <w:t>u</w:t>
      </w:r>
      <w:r w:rsidRPr="00ED392C">
        <w:rPr>
          <w:rFonts w:ascii="Times New Roman" w:hAnsi="Times New Roman"/>
          <w:spacing w:val="-1"/>
          <w:sz w:val="24"/>
          <w:szCs w:val="24"/>
        </w:rPr>
        <w:t>n</w:t>
      </w:r>
      <w:r w:rsidRPr="00ED392C">
        <w:rPr>
          <w:rFonts w:ascii="Times New Roman" w:hAnsi="Times New Roman"/>
          <w:spacing w:val="1"/>
          <w:sz w:val="24"/>
          <w:szCs w:val="24"/>
        </w:rPr>
        <w:t>d</w:t>
      </w:r>
      <w:r w:rsidRPr="00ED392C">
        <w:rPr>
          <w:rFonts w:ascii="Times New Roman" w:hAnsi="Times New Roman"/>
          <w:sz w:val="24"/>
          <w:szCs w:val="24"/>
        </w:rPr>
        <w:t>er</w:t>
      </w:r>
      <w:r>
        <w:rPr>
          <w:rFonts w:ascii="Times New Roman" w:hAnsi="Times New Roman"/>
          <w:sz w:val="24"/>
          <w:szCs w:val="24"/>
        </w:rPr>
        <w:t xml:space="preserve"> </w:t>
      </w:r>
      <w:r w:rsidRPr="00ED392C">
        <w:rPr>
          <w:rFonts w:ascii="Times New Roman" w:hAnsi="Times New Roman"/>
          <w:spacing w:val="1"/>
          <w:sz w:val="24"/>
          <w:szCs w:val="24"/>
        </w:rPr>
        <w:t>v</w:t>
      </w:r>
      <w:r w:rsidRPr="00ED392C">
        <w:rPr>
          <w:rFonts w:ascii="Times New Roman" w:hAnsi="Times New Roman"/>
          <w:sz w:val="24"/>
          <w:szCs w:val="24"/>
        </w:rPr>
        <w:t>a</w:t>
      </w:r>
      <w:r w:rsidRPr="00ED392C">
        <w:rPr>
          <w:rFonts w:ascii="Times New Roman" w:hAnsi="Times New Roman"/>
          <w:spacing w:val="-2"/>
          <w:sz w:val="24"/>
          <w:szCs w:val="24"/>
        </w:rPr>
        <w:t>r</w:t>
      </w:r>
      <w:r w:rsidRPr="00ED392C">
        <w:rPr>
          <w:rFonts w:ascii="Times New Roman" w:hAnsi="Times New Roman"/>
          <w:spacing w:val="1"/>
          <w:sz w:val="24"/>
          <w:szCs w:val="24"/>
        </w:rPr>
        <w:t>i</w:t>
      </w:r>
      <w:r w:rsidRPr="00ED392C">
        <w:rPr>
          <w:rFonts w:ascii="Times New Roman" w:hAnsi="Times New Roman"/>
          <w:spacing w:val="-1"/>
          <w:sz w:val="24"/>
          <w:szCs w:val="24"/>
        </w:rPr>
        <w:t>ou</w:t>
      </w:r>
      <w:r w:rsidRPr="00ED392C">
        <w:rPr>
          <w:rFonts w:ascii="Times New Roman" w:hAnsi="Times New Roman"/>
          <w:sz w:val="24"/>
          <w:szCs w:val="24"/>
        </w:rPr>
        <w:t>s</w:t>
      </w:r>
      <w:r>
        <w:rPr>
          <w:rFonts w:ascii="Times New Roman" w:hAnsi="Times New Roman"/>
          <w:sz w:val="24"/>
          <w:szCs w:val="24"/>
        </w:rPr>
        <w:t xml:space="preserve"> </w:t>
      </w:r>
      <w:r>
        <w:rPr>
          <w:rStyle w:val="FootnoteReference"/>
          <w:rFonts w:ascii="Times New Roman" w:hAnsi="Times New Roman"/>
          <w:sz w:val="24"/>
          <w:szCs w:val="24"/>
        </w:rPr>
        <w:footnoteReference w:id="3"/>
      </w:r>
      <w:r>
        <w:rPr>
          <w:rFonts w:ascii="Times New Roman" w:hAnsi="Times New Roman"/>
          <w:sz w:val="24"/>
          <w:szCs w:val="24"/>
        </w:rPr>
        <w:t>[</w:t>
      </w:r>
      <w:r w:rsidRPr="00ED392C">
        <w:rPr>
          <w:rFonts w:ascii="Times New Roman" w:hAnsi="Times New Roman"/>
          <w:spacing w:val="1"/>
          <w:sz w:val="24"/>
          <w:szCs w:val="24"/>
        </w:rPr>
        <w:t>p</w:t>
      </w:r>
      <w:r w:rsidRPr="00ED392C">
        <w:rPr>
          <w:rFonts w:ascii="Times New Roman" w:hAnsi="Times New Roman"/>
          <w:spacing w:val="-2"/>
          <w:sz w:val="24"/>
          <w:szCs w:val="24"/>
        </w:rPr>
        <w:t>r</w:t>
      </w:r>
      <w:r w:rsidRPr="00ED392C">
        <w:rPr>
          <w:rFonts w:ascii="Times New Roman" w:hAnsi="Times New Roman"/>
          <w:spacing w:val="-1"/>
          <w:sz w:val="24"/>
          <w:szCs w:val="24"/>
        </w:rPr>
        <w:t>o</w:t>
      </w:r>
      <w:r w:rsidRPr="00ED392C">
        <w:rPr>
          <w:rFonts w:ascii="Times New Roman" w:hAnsi="Times New Roman"/>
          <w:spacing w:val="1"/>
          <w:sz w:val="24"/>
          <w:szCs w:val="24"/>
        </w:rPr>
        <w:t>v</w:t>
      </w:r>
      <w:r w:rsidRPr="00ED392C">
        <w:rPr>
          <w:rFonts w:ascii="Times New Roman" w:hAnsi="Times New Roman"/>
          <w:spacing w:val="-1"/>
          <w:sz w:val="24"/>
          <w:szCs w:val="24"/>
        </w:rPr>
        <w:t>i</w:t>
      </w:r>
      <w:r w:rsidRPr="00ED392C">
        <w:rPr>
          <w:rFonts w:ascii="Times New Roman" w:hAnsi="Times New Roman"/>
          <w:spacing w:val="1"/>
          <w:sz w:val="24"/>
          <w:szCs w:val="24"/>
        </w:rPr>
        <w:t>s</w:t>
      </w:r>
      <w:r w:rsidRPr="00ED392C">
        <w:rPr>
          <w:rFonts w:ascii="Times New Roman" w:hAnsi="Times New Roman"/>
          <w:spacing w:val="-1"/>
          <w:sz w:val="24"/>
          <w:szCs w:val="24"/>
        </w:rPr>
        <w:t>i</w:t>
      </w:r>
      <w:r w:rsidRPr="00ED392C">
        <w:rPr>
          <w:rFonts w:ascii="Times New Roman" w:hAnsi="Times New Roman"/>
          <w:spacing w:val="1"/>
          <w:sz w:val="24"/>
          <w:szCs w:val="24"/>
        </w:rPr>
        <w:t>o</w:t>
      </w:r>
      <w:r w:rsidRPr="00ED392C">
        <w:rPr>
          <w:rFonts w:ascii="Times New Roman" w:hAnsi="Times New Roman"/>
          <w:spacing w:val="-1"/>
          <w:sz w:val="24"/>
          <w:szCs w:val="24"/>
        </w:rPr>
        <w:t>n</w:t>
      </w:r>
      <w:r w:rsidRPr="00ED392C">
        <w:rPr>
          <w:rFonts w:ascii="Times New Roman" w:hAnsi="Times New Roman"/>
          <w:sz w:val="24"/>
          <w:szCs w:val="24"/>
        </w:rPr>
        <w:t>s</w:t>
      </w:r>
      <w:r>
        <w:rPr>
          <w:rFonts w:ascii="Times New Roman" w:hAnsi="Times New Roman"/>
          <w:sz w:val="24"/>
          <w:szCs w:val="24"/>
        </w:rPr>
        <w:t xml:space="preserve"> </w:t>
      </w:r>
      <w:r w:rsidRPr="00ED392C">
        <w:rPr>
          <w:rFonts w:ascii="Times New Roman" w:hAnsi="Times New Roman"/>
          <w:spacing w:val="-1"/>
          <w:sz w:val="24"/>
          <w:szCs w:val="24"/>
        </w:rPr>
        <w:t>o</w:t>
      </w:r>
      <w:r w:rsidRPr="00ED392C">
        <w:rPr>
          <w:rFonts w:ascii="Times New Roman" w:hAnsi="Times New Roman"/>
          <w:sz w:val="24"/>
          <w:szCs w:val="24"/>
        </w:rPr>
        <w:t xml:space="preserve">f </w:t>
      </w:r>
      <w:r w:rsidRPr="00ED392C">
        <w:rPr>
          <w:rFonts w:ascii="Times New Roman" w:hAnsi="Times New Roman"/>
          <w:spacing w:val="1"/>
          <w:sz w:val="24"/>
          <w:szCs w:val="24"/>
        </w:rPr>
        <w:t>th</w:t>
      </w:r>
      <w:r w:rsidRPr="00ED392C">
        <w:rPr>
          <w:rFonts w:ascii="Times New Roman" w:hAnsi="Times New Roman"/>
          <w:sz w:val="24"/>
          <w:szCs w:val="24"/>
        </w:rPr>
        <w:t xml:space="preserve">e </w:t>
      </w:r>
      <w:r w:rsidRPr="00ED392C">
        <w:rPr>
          <w:rFonts w:ascii="Times New Roman" w:hAnsi="Times New Roman"/>
          <w:spacing w:val="-2"/>
          <w:sz w:val="24"/>
          <w:szCs w:val="24"/>
        </w:rPr>
        <w:t>Ac</w:t>
      </w:r>
      <w:r w:rsidRPr="00ED392C">
        <w:rPr>
          <w:rFonts w:ascii="Times New Roman" w:hAnsi="Times New Roman"/>
          <w:sz w:val="24"/>
          <w:szCs w:val="24"/>
        </w:rPr>
        <w:t>t</w:t>
      </w:r>
      <w:r>
        <w:rPr>
          <w:rFonts w:ascii="Times New Roman" w:hAnsi="Times New Roman"/>
          <w:sz w:val="24"/>
          <w:szCs w:val="24"/>
        </w:rPr>
        <w:t xml:space="preserve"> or the </w:t>
      </w:r>
      <w:r w:rsidR="00901B98">
        <w:rPr>
          <w:rFonts w:ascii="Times New Roman" w:hAnsi="Times New Roman"/>
          <w:sz w:val="24"/>
          <w:szCs w:val="24"/>
        </w:rPr>
        <w:t>regulations</w:t>
      </w:r>
      <w:r>
        <w:rPr>
          <w:rFonts w:ascii="Times New Roman" w:hAnsi="Times New Roman"/>
          <w:sz w:val="24"/>
          <w:szCs w:val="24"/>
        </w:rPr>
        <w:t xml:space="preserve"> framed thereunder] </w:t>
      </w:r>
      <w:r w:rsidRPr="00ED392C">
        <w:rPr>
          <w:rFonts w:ascii="Times New Roman" w:hAnsi="Times New Roman"/>
          <w:spacing w:val="-2"/>
          <w:sz w:val="24"/>
          <w:szCs w:val="24"/>
        </w:rPr>
        <w:t>s</w:t>
      </w:r>
      <w:r w:rsidRPr="00ED392C">
        <w:rPr>
          <w:rFonts w:ascii="Times New Roman" w:hAnsi="Times New Roman"/>
          <w:spacing w:val="1"/>
          <w:sz w:val="24"/>
          <w:szCs w:val="24"/>
        </w:rPr>
        <w:t>h</w:t>
      </w:r>
      <w:r w:rsidRPr="00ED392C">
        <w:rPr>
          <w:rFonts w:ascii="Times New Roman" w:hAnsi="Times New Roman"/>
          <w:spacing w:val="-2"/>
          <w:sz w:val="24"/>
          <w:szCs w:val="24"/>
        </w:rPr>
        <w:t>a</w:t>
      </w:r>
      <w:r w:rsidRPr="00ED392C">
        <w:rPr>
          <w:rFonts w:ascii="Times New Roman" w:hAnsi="Times New Roman"/>
          <w:spacing w:val="1"/>
          <w:sz w:val="24"/>
          <w:szCs w:val="24"/>
        </w:rPr>
        <w:t>l</w:t>
      </w:r>
      <w:r w:rsidRPr="00ED392C">
        <w:rPr>
          <w:rFonts w:ascii="Times New Roman" w:hAnsi="Times New Roman"/>
          <w:sz w:val="24"/>
          <w:szCs w:val="24"/>
        </w:rPr>
        <w:t>l</w:t>
      </w:r>
      <w:r>
        <w:rPr>
          <w:rFonts w:ascii="Times New Roman" w:hAnsi="Times New Roman"/>
          <w:sz w:val="24"/>
          <w:szCs w:val="24"/>
        </w:rPr>
        <w:t xml:space="preserve"> </w:t>
      </w:r>
      <w:r w:rsidRPr="00ED392C">
        <w:rPr>
          <w:rFonts w:ascii="Times New Roman" w:hAnsi="Times New Roman"/>
          <w:spacing w:val="-3"/>
          <w:sz w:val="24"/>
          <w:szCs w:val="24"/>
        </w:rPr>
        <w:t>a</w:t>
      </w:r>
      <w:r w:rsidRPr="00ED392C">
        <w:rPr>
          <w:rFonts w:ascii="Times New Roman" w:hAnsi="Times New Roman"/>
          <w:sz w:val="24"/>
          <w:szCs w:val="24"/>
        </w:rPr>
        <w:t>cc</w:t>
      </w:r>
      <w:r w:rsidRPr="00ED392C">
        <w:rPr>
          <w:rFonts w:ascii="Times New Roman" w:hAnsi="Times New Roman"/>
          <w:spacing w:val="1"/>
          <w:sz w:val="24"/>
          <w:szCs w:val="24"/>
        </w:rPr>
        <w:t>o</w:t>
      </w:r>
      <w:r w:rsidRPr="00ED392C">
        <w:rPr>
          <w:rFonts w:ascii="Times New Roman" w:hAnsi="Times New Roman"/>
          <w:spacing w:val="-5"/>
          <w:sz w:val="24"/>
          <w:szCs w:val="24"/>
        </w:rPr>
        <w:t>m</w:t>
      </w:r>
      <w:r w:rsidRPr="00ED392C">
        <w:rPr>
          <w:rFonts w:ascii="Times New Roman" w:hAnsi="Times New Roman"/>
          <w:spacing w:val="1"/>
          <w:sz w:val="24"/>
          <w:szCs w:val="24"/>
        </w:rPr>
        <w:t>p</w:t>
      </w:r>
      <w:r w:rsidRPr="00ED392C">
        <w:rPr>
          <w:rFonts w:ascii="Times New Roman" w:hAnsi="Times New Roman"/>
          <w:sz w:val="24"/>
          <w:szCs w:val="24"/>
        </w:rPr>
        <w:t>a</w:t>
      </w:r>
      <w:r w:rsidRPr="00ED392C">
        <w:rPr>
          <w:rFonts w:ascii="Times New Roman" w:hAnsi="Times New Roman"/>
          <w:spacing w:val="1"/>
          <w:sz w:val="24"/>
          <w:szCs w:val="24"/>
        </w:rPr>
        <w:t>n</w:t>
      </w:r>
      <w:r w:rsidRPr="00ED392C">
        <w:rPr>
          <w:rFonts w:ascii="Times New Roman" w:hAnsi="Times New Roman"/>
          <w:sz w:val="24"/>
          <w:szCs w:val="24"/>
        </w:rPr>
        <w:t>y</w:t>
      </w:r>
      <w:r>
        <w:rPr>
          <w:rFonts w:ascii="Times New Roman" w:hAnsi="Times New Roman"/>
          <w:sz w:val="24"/>
          <w:szCs w:val="24"/>
        </w:rPr>
        <w:t xml:space="preserve"> </w:t>
      </w:r>
      <w:r w:rsidRPr="00ED392C">
        <w:rPr>
          <w:rFonts w:ascii="Times New Roman" w:hAnsi="Times New Roman"/>
          <w:sz w:val="24"/>
          <w:szCs w:val="24"/>
        </w:rPr>
        <w:t>fee as</w:t>
      </w:r>
      <w:r>
        <w:rPr>
          <w:rFonts w:ascii="Times New Roman" w:hAnsi="Times New Roman"/>
          <w:sz w:val="24"/>
          <w:szCs w:val="24"/>
        </w:rPr>
        <w:t xml:space="preserve"> </w:t>
      </w:r>
      <w:r w:rsidRPr="00ED392C">
        <w:rPr>
          <w:rFonts w:ascii="Times New Roman" w:hAnsi="Times New Roman"/>
          <w:spacing w:val="-2"/>
          <w:sz w:val="24"/>
          <w:szCs w:val="24"/>
        </w:rPr>
        <w:t>s</w:t>
      </w:r>
      <w:r w:rsidRPr="00ED392C">
        <w:rPr>
          <w:rFonts w:ascii="Times New Roman" w:hAnsi="Times New Roman"/>
          <w:spacing w:val="1"/>
          <w:sz w:val="24"/>
          <w:szCs w:val="24"/>
        </w:rPr>
        <w:t>p</w:t>
      </w:r>
      <w:r w:rsidRPr="00ED392C">
        <w:rPr>
          <w:rFonts w:ascii="Times New Roman" w:hAnsi="Times New Roman"/>
          <w:sz w:val="24"/>
          <w:szCs w:val="24"/>
        </w:rPr>
        <w:t>e</w:t>
      </w:r>
      <w:r w:rsidRPr="00ED392C">
        <w:rPr>
          <w:rFonts w:ascii="Times New Roman" w:hAnsi="Times New Roman"/>
          <w:spacing w:val="-2"/>
          <w:sz w:val="24"/>
          <w:szCs w:val="24"/>
        </w:rPr>
        <w:t>c</w:t>
      </w:r>
      <w:r w:rsidRPr="00ED392C">
        <w:rPr>
          <w:rFonts w:ascii="Times New Roman" w:hAnsi="Times New Roman"/>
          <w:spacing w:val="1"/>
          <w:sz w:val="24"/>
          <w:szCs w:val="24"/>
        </w:rPr>
        <w:t>i</w:t>
      </w:r>
      <w:r w:rsidRPr="00ED392C">
        <w:rPr>
          <w:rFonts w:ascii="Times New Roman" w:hAnsi="Times New Roman"/>
          <w:sz w:val="24"/>
          <w:szCs w:val="24"/>
        </w:rPr>
        <w:t>f</w:t>
      </w:r>
      <w:r w:rsidRPr="00ED392C">
        <w:rPr>
          <w:rFonts w:ascii="Times New Roman" w:hAnsi="Times New Roman"/>
          <w:spacing w:val="-1"/>
          <w:sz w:val="24"/>
          <w:szCs w:val="24"/>
        </w:rPr>
        <w:t>i</w:t>
      </w:r>
      <w:r w:rsidRPr="00ED392C">
        <w:rPr>
          <w:rFonts w:ascii="Times New Roman" w:hAnsi="Times New Roman"/>
          <w:sz w:val="24"/>
          <w:szCs w:val="24"/>
        </w:rPr>
        <w:t>ed</w:t>
      </w:r>
      <w:r>
        <w:rPr>
          <w:rFonts w:ascii="Times New Roman" w:hAnsi="Times New Roman"/>
          <w:sz w:val="24"/>
          <w:szCs w:val="24"/>
        </w:rPr>
        <w:t xml:space="preserve"> </w:t>
      </w:r>
      <w:r w:rsidRPr="00ED392C">
        <w:rPr>
          <w:rFonts w:ascii="Times New Roman" w:hAnsi="Times New Roman"/>
          <w:spacing w:val="-1"/>
          <w:sz w:val="24"/>
          <w:szCs w:val="24"/>
        </w:rPr>
        <w:t>b</w:t>
      </w:r>
      <w:r w:rsidRPr="00ED392C">
        <w:rPr>
          <w:rFonts w:ascii="Times New Roman" w:hAnsi="Times New Roman"/>
          <w:spacing w:val="5"/>
          <w:sz w:val="24"/>
          <w:szCs w:val="24"/>
        </w:rPr>
        <w:t>e</w:t>
      </w:r>
      <w:r w:rsidRPr="00ED392C">
        <w:rPr>
          <w:rFonts w:ascii="Times New Roman" w:hAnsi="Times New Roman"/>
          <w:spacing w:val="1"/>
          <w:sz w:val="24"/>
          <w:szCs w:val="24"/>
        </w:rPr>
        <w:t>lo</w:t>
      </w:r>
      <w:r w:rsidRPr="00ED392C">
        <w:rPr>
          <w:rFonts w:ascii="Times New Roman" w:hAnsi="Times New Roman"/>
          <w:spacing w:val="-4"/>
          <w:sz w:val="24"/>
          <w:szCs w:val="24"/>
        </w:rPr>
        <w:t>w</w:t>
      </w:r>
      <w:r>
        <w:rPr>
          <w:rFonts w:ascii="Times New Roman" w:hAnsi="Times New Roman"/>
          <w:spacing w:val="-4"/>
          <w:sz w:val="24"/>
          <w:szCs w:val="24"/>
        </w:rPr>
        <w:t>, namely</w:t>
      </w:r>
      <w:r w:rsidRPr="00ED392C">
        <w:rPr>
          <w:rFonts w:ascii="Times New Roman" w:hAnsi="Times New Roman"/>
          <w:sz w:val="24"/>
          <w:szCs w:val="24"/>
        </w:rPr>
        <w:t>:</w:t>
      </w:r>
    </w:p>
    <w:p w14:paraId="2A3B70A9" w14:textId="77777777" w:rsidR="00DE6176" w:rsidRPr="00ED392C" w:rsidRDefault="00DE6176" w:rsidP="00DE6176">
      <w:pPr>
        <w:widowControl w:val="0"/>
        <w:autoSpaceDE w:val="0"/>
        <w:autoSpaceDN w:val="0"/>
        <w:adjustRightInd w:val="0"/>
        <w:spacing w:before="9" w:after="0" w:line="20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080"/>
        <w:gridCol w:w="2696"/>
      </w:tblGrid>
      <w:tr w:rsidR="00DE6176" w14:paraId="72EFCA1F" w14:textId="77777777" w:rsidTr="00256B0A">
        <w:tc>
          <w:tcPr>
            <w:tcW w:w="1240" w:type="dxa"/>
          </w:tcPr>
          <w:p w14:paraId="455DDBE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S. No.</w:t>
            </w:r>
          </w:p>
        </w:tc>
        <w:tc>
          <w:tcPr>
            <w:tcW w:w="5080" w:type="dxa"/>
          </w:tcPr>
          <w:p w14:paraId="3CC95ACC" w14:textId="46EA8F83"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DE6176">
              <w:rPr>
                <w:rFonts w:ascii="Times New Roman" w:hAnsi="Times New Roman"/>
                <w:sz w:val="24"/>
                <w:szCs w:val="24"/>
              </w:rPr>
              <w:t>Activity under the provisions of the Act or the regulations framed thereunder</w:t>
            </w:r>
            <w:r>
              <w:rPr>
                <w:rFonts w:ascii="Times New Roman" w:hAnsi="Times New Roman"/>
                <w:sz w:val="24"/>
                <w:szCs w:val="24"/>
              </w:rPr>
              <w:t>]</w:t>
            </w:r>
          </w:p>
        </w:tc>
        <w:tc>
          <w:tcPr>
            <w:tcW w:w="2696" w:type="dxa"/>
          </w:tcPr>
          <w:p w14:paraId="13AD1AF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Fee (Rs.)</w:t>
            </w:r>
          </w:p>
        </w:tc>
      </w:tr>
      <w:tr w:rsidR="00DE6176" w14:paraId="6317F879" w14:textId="77777777" w:rsidTr="00256B0A">
        <w:tc>
          <w:tcPr>
            <w:tcW w:w="1240" w:type="dxa"/>
          </w:tcPr>
          <w:p w14:paraId="7429EC0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(1)</w:t>
            </w:r>
          </w:p>
        </w:tc>
        <w:tc>
          <w:tcPr>
            <w:tcW w:w="5080" w:type="dxa"/>
          </w:tcPr>
          <w:p w14:paraId="0751215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(2)</w:t>
            </w:r>
          </w:p>
        </w:tc>
        <w:tc>
          <w:tcPr>
            <w:tcW w:w="2696" w:type="dxa"/>
          </w:tcPr>
          <w:p w14:paraId="4E77C04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(3)</w:t>
            </w:r>
          </w:p>
        </w:tc>
      </w:tr>
      <w:tr w:rsidR="00DE6176" w14:paraId="17424C60" w14:textId="77777777" w:rsidTr="00256B0A">
        <w:tc>
          <w:tcPr>
            <w:tcW w:w="1240" w:type="dxa"/>
          </w:tcPr>
          <w:p w14:paraId="29A418E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75BC1FD" w14:textId="3422A991"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z w:val="24"/>
                <w:szCs w:val="24"/>
              </w:rPr>
              <w:t>Re</w:t>
            </w:r>
            <w:r w:rsidRPr="00DC6C95">
              <w:rPr>
                <w:rFonts w:ascii="Times New Roman" w:hAnsi="Times New Roman"/>
                <w:spacing w:val="-1"/>
                <w:sz w:val="24"/>
                <w:szCs w:val="24"/>
              </w:rPr>
              <w:t>g</w:t>
            </w:r>
            <w:r w:rsidRPr="00DC6C95">
              <w:rPr>
                <w:rFonts w:ascii="Times New Roman" w:hAnsi="Times New Roman"/>
                <w:spacing w:val="1"/>
                <w:sz w:val="24"/>
                <w:szCs w:val="24"/>
              </w:rPr>
              <w:t>i</w:t>
            </w:r>
            <w:r w:rsidRPr="00DC6C95">
              <w:rPr>
                <w:rFonts w:ascii="Times New Roman" w:hAnsi="Times New Roman"/>
                <w:spacing w:val="-1"/>
                <w:sz w:val="24"/>
                <w:szCs w:val="24"/>
              </w:rPr>
              <w:t>s</w:t>
            </w:r>
            <w:r w:rsidRPr="00DC6C95">
              <w:rPr>
                <w:rFonts w:ascii="Times New Roman" w:hAnsi="Times New Roman"/>
                <w:spacing w:val="1"/>
                <w:sz w:val="24"/>
                <w:szCs w:val="24"/>
              </w:rPr>
              <w:t>t</w:t>
            </w:r>
            <w:r w:rsidRPr="00DC6C95">
              <w:rPr>
                <w:rFonts w:ascii="Times New Roman" w:hAnsi="Times New Roman"/>
                <w:sz w:val="24"/>
                <w:szCs w:val="24"/>
              </w:rPr>
              <w:t>r</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2"/>
                <w:sz w:val="24"/>
                <w:szCs w:val="24"/>
              </w:rPr>
              <w:t>u</w:t>
            </w:r>
            <w:r w:rsidRPr="00DC6C95">
              <w:rPr>
                <w:rFonts w:ascii="Times New Roman" w:hAnsi="Times New Roman"/>
                <w:spacing w:val="1"/>
                <w:sz w:val="24"/>
                <w:szCs w:val="24"/>
              </w:rPr>
              <w:t>n</w:t>
            </w:r>
            <w:r w:rsidRPr="00DC6C95">
              <w:rPr>
                <w:rFonts w:ascii="Times New Roman" w:hAnsi="Times New Roman"/>
                <w:spacing w:val="-1"/>
                <w:sz w:val="24"/>
                <w:szCs w:val="24"/>
              </w:rPr>
              <w:t>d</w:t>
            </w:r>
            <w:r w:rsidRPr="00DC6C95">
              <w:rPr>
                <w:rFonts w:ascii="Times New Roman" w:hAnsi="Times New Roman"/>
                <w:sz w:val="24"/>
                <w:szCs w:val="24"/>
              </w:rPr>
              <w:t>er 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sidRPr="00DC6C95">
              <w:rPr>
                <w:rFonts w:ascii="Times New Roman" w:hAnsi="Times New Roman"/>
                <w:spacing w:val="-2"/>
                <w:sz w:val="24"/>
                <w:szCs w:val="24"/>
              </w:rPr>
              <w:t>1</w:t>
            </w:r>
            <w:r w:rsidRPr="00DC6C95">
              <w:rPr>
                <w:rFonts w:ascii="Times New Roman" w:hAnsi="Times New Roman"/>
                <w:sz w:val="24"/>
                <w:szCs w:val="24"/>
              </w:rPr>
              <w:t>5</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t</w:t>
            </w:r>
          </w:p>
        </w:tc>
        <w:tc>
          <w:tcPr>
            <w:tcW w:w="2696" w:type="dxa"/>
          </w:tcPr>
          <w:p w14:paraId="362DD49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pacing w:val="1"/>
                <w:sz w:val="24"/>
                <w:szCs w:val="24"/>
              </w:rPr>
              <w:t>10</w:t>
            </w:r>
            <w:r w:rsidRPr="00DC6C95">
              <w:rPr>
                <w:rFonts w:ascii="Times New Roman" w:hAnsi="Times New Roman"/>
                <w:sz w:val="24"/>
                <w:szCs w:val="24"/>
              </w:rPr>
              <w:t>,0</w:t>
            </w:r>
            <w:r w:rsidRPr="00DC6C95">
              <w:rPr>
                <w:rFonts w:ascii="Times New Roman" w:hAnsi="Times New Roman"/>
                <w:spacing w:val="1"/>
                <w:sz w:val="24"/>
                <w:szCs w:val="24"/>
              </w:rPr>
              <w:t>0</w:t>
            </w:r>
            <w:r w:rsidRPr="00DC6C95">
              <w:rPr>
                <w:rFonts w:ascii="Times New Roman" w:hAnsi="Times New Roman"/>
                <w:spacing w:val="-3"/>
                <w:sz w:val="24"/>
                <w:szCs w:val="24"/>
              </w:rPr>
              <w:t>,</w:t>
            </w:r>
            <w:r w:rsidRPr="00DC6C95">
              <w:rPr>
                <w:rFonts w:ascii="Times New Roman" w:hAnsi="Times New Roman"/>
                <w:spacing w:val="-1"/>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8ABAFE9" w14:textId="77777777" w:rsidTr="00256B0A">
        <w:tc>
          <w:tcPr>
            <w:tcW w:w="1240" w:type="dxa"/>
          </w:tcPr>
          <w:p w14:paraId="6578C156"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49DDE80" w14:textId="46A0067C"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E</w:t>
            </w:r>
            <w:r w:rsidRPr="00DC6C95">
              <w:rPr>
                <w:rFonts w:ascii="Times New Roman" w:hAnsi="Times New Roman"/>
                <w:spacing w:val="1"/>
                <w:sz w:val="24"/>
                <w:szCs w:val="24"/>
              </w:rPr>
              <w:t>xp</w:t>
            </w:r>
            <w:r w:rsidRPr="00DC6C95">
              <w:rPr>
                <w:rFonts w:ascii="Times New Roman" w:hAnsi="Times New Roman"/>
                <w:sz w:val="24"/>
                <w:szCs w:val="24"/>
              </w:rPr>
              <w:t>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pacing w:val="1"/>
                <w:sz w:val="24"/>
                <w:szCs w:val="24"/>
              </w:rPr>
              <w:t>s</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i</w:t>
            </w:r>
            <w:r w:rsidRPr="00DC6C95">
              <w:rPr>
                <w:rFonts w:ascii="Times New Roman" w:hAnsi="Times New Roman"/>
                <w:spacing w:val="-1"/>
                <w:sz w:val="24"/>
                <w:szCs w:val="24"/>
              </w:rPr>
              <w:t>n</w:t>
            </w:r>
            <w:r w:rsidRPr="00DC6C95">
              <w:rPr>
                <w:rFonts w:ascii="Times New Roman" w:hAnsi="Times New Roman"/>
                <w:spacing w:val="1"/>
                <w:sz w:val="24"/>
                <w:szCs w:val="24"/>
              </w:rPr>
              <w:t>t</w:t>
            </w:r>
            <w:r w:rsidRPr="00DC6C95">
              <w:rPr>
                <w:rFonts w:ascii="Times New Roman" w:hAnsi="Times New Roman"/>
                <w:sz w:val="24"/>
                <w:szCs w:val="24"/>
              </w:rPr>
              <w:t>er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z w:val="24"/>
                <w:szCs w:val="24"/>
              </w:rPr>
              <w:t>t</w:t>
            </w:r>
            <w:r>
              <w:rPr>
                <w:rFonts w:ascii="Times New Roman" w:hAnsi="Times New Roman"/>
                <w:sz w:val="24"/>
                <w:szCs w:val="24"/>
              </w:rPr>
              <w:t xml:space="preserve"> </w:t>
            </w:r>
            <w:r w:rsidRPr="00DC6C95">
              <w:rPr>
                <w:rFonts w:ascii="Times New Roman" w:hAnsi="Times New Roman"/>
                <w:sz w:val="24"/>
                <w:szCs w:val="24"/>
              </w:rPr>
              <w:t>for a</w:t>
            </w:r>
            <w:r w:rsidRPr="00DC6C95">
              <w:rPr>
                <w:rFonts w:ascii="Times New Roman" w:hAnsi="Times New Roman"/>
                <w:spacing w:val="-1"/>
                <w:sz w:val="24"/>
                <w:szCs w:val="24"/>
              </w:rPr>
              <w:t>ut</w:t>
            </w:r>
            <w:r w:rsidRPr="00DC6C95">
              <w:rPr>
                <w:rFonts w:ascii="Times New Roman" w:hAnsi="Times New Roman"/>
                <w:spacing w:val="1"/>
                <w:sz w:val="24"/>
                <w:szCs w:val="24"/>
              </w:rPr>
              <w:t>h</w:t>
            </w:r>
            <w:r w:rsidRPr="00DC6C95">
              <w:rPr>
                <w:rFonts w:ascii="Times New Roman" w:hAnsi="Times New Roman"/>
                <w:spacing w:val="-1"/>
                <w:sz w:val="24"/>
                <w:szCs w:val="24"/>
              </w:rPr>
              <w:t>o</w:t>
            </w:r>
            <w:r w:rsidRPr="00DC6C95">
              <w:rPr>
                <w:rFonts w:ascii="Times New Roman" w:hAnsi="Times New Roman"/>
                <w:sz w:val="24"/>
                <w:szCs w:val="24"/>
              </w:rPr>
              <w:t>r</w:t>
            </w:r>
            <w:r w:rsidRPr="00DC6C95">
              <w:rPr>
                <w:rFonts w:ascii="Times New Roman" w:hAnsi="Times New Roman"/>
                <w:spacing w:val="1"/>
                <w:sz w:val="24"/>
                <w:szCs w:val="24"/>
              </w:rPr>
              <w:t>i</w:t>
            </w:r>
            <w:r w:rsidRPr="00DC6C95">
              <w:rPr>
                <w:rFonts w:ascii="Times New Roman" w:hAnsi="Times New Roman"/>
                <w:spacing w:val="-2"/>
                <w:sz w:val="24"/>
                <w:szCs w:val="24"/>
              </w:rPr>
              <w:t>z</w:t>
            </w:r>
            <w:r w:rsidRPr="00DC6C95">
              <w:rPr>
                <w:rFonts w:ascii="Times New Roman" w:hAnsi="Times New Roman"/>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p>
        </w:tc>
        <w:tc>
          <w:tcPr>
            <w:tcW w:w="2696" w:type="dxa"/>
          </w:tcPr>
          <w:p w14:paraId="176DC1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w:t>
            </w:r>
            <w:r w:rsidRPr="00DC6C95">
              <w:rPr>
                <w:rFonts w:ascii="Times New Roman" w:hAnsi="Times New Roman"/>
                <w:sz w:val="24"/>
                <w:szCs w:val="24"/>
              </w:rPr>
              <w:t>,</w:t>
            </w:r>
            <w:r w:rsidRPr="00DC6C95">
              <w:rPr>
                <w:rFonts w:ascii="Times New Roman" w:hAnsi="Times New Roman"/>
                <w:spacing w:val="-2"/>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76EF397" w14:textId="77777777" w:rsidTr="00256B0A">
        <w:tc>
          <w:tcPr>
            <w:tcW w:w="1240" w:type="dxa"/>
          </w:tcPr>
          <w:p w14:paraId="1D8861FA"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4236F9E"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Application</w:t>
            </w:r>
            <w:r>
              <w:rPr>
                <w:rFonts w:ascii="Times New Roman" w:hAnsi="Times New Roman"/>
                <w:spacing w:val="-1"/>
                <w:sz w:val="24"/>
                <w:szCs w:val="24"/>
              </w:rPr>
              <w:t xml:space="preserve"> </w:t>
            </w:r>
            <w:r w:rsidRPr="00DC6C95">
              <w:rPr>
                <w:rFonts w:ascii="Times New Roman" w:hAnsi="Times New Roman"/>
                <w:spacing w:val="-1"/>
                <w:sz w:val="24"/>
                <w:szCs w:val="24"/>
              </w:rPr>
              <w:t>for a</w:t>
            </w:r>
            <w:r w:rsidRPr="00DC6C95">
              <w:rPr>
                <w:rFonts w:ascii="Times New Roman" w:hAnsi="Times New Roman"/>
                <w:spacing w:val="1"/>
                <w:sz w:val="24"/>
                <w:szCs w:val="24"/>
              </w:rPr>
              <w:t>u</w:t>
            </w:r>
            <w:r w:rsidRPr="00DC6C95">
              <w:rPr>
                <w:rFonts w:ascii="Times New Roman" w:hAnsi="Times New Roman"/>
                <w:spacing w:val="-1"/>
                <w:sz w:val="24"/>
                <w:szCs w:val="24"/>
              </w:rPr>
              <w:t>t</w:t>
            </w:r>
            <w:r w:rsidRPr="00DC6C95">
              <w:rPr>
                <w:rFonts w:ascii="Times New Roman" w:hAnsi="Times New Roman"/>
                <w:spacing w:val="1"/>
                <w:sz w:val="24"/>
                <w:szCs w:val="24"/>
              </w:rPr>
              <w:t>ho</w:t>
            </w:r>
            <w:r w:rsidRPr="00DC6C95">
              <w:rPr>
                <w:rFonts w:ascii="Times New Roman" w:hAnsi="Times New Roman"/>
                <w:spacing w:val="-2"/>
                <w:sz w:val="24"/>
                <w:szCs w:val="24"/>
              </w:rPr>
              <w:t>r</w:t>
            </w:r>
            <w:r w:rsidRPr="00DC6C95">
              <w:rPr>
                <w:rFonts w:ascii="Times New Roman" w:hAnsi="Times New Roman"/>
                <w:spacing w:val="1"/>
                <w:sz w:val="24"/>
                <w:szCs w:val="24"/>
              </w:rPr>
              <w:t>i</w:t>
            </w:r>
            <w:r w:rsidRPr="00DC6C95">
              <w:rPr>
                <w:rFonts w:ascii="Times New Roman" w:hAnsi="Times New Roman"/>
                <w:sz w:val="24"/>
                <w:szCs w:val="24"/>
              </w:rPr>
              <w:t>z</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1"/>
                <w:sz w:val="24"/>
                <w:szCs w:val="24"/>
              </w:rPr>
              <w:t>un</w:t>
            </w:r>
            <w:r w:rsidRPr="00DC6C95">
              <w:rPr>
                <w:rFonts w:ascii="Times New Roman" w:hAnsi="Times New Roman"/>
                <w:spacing w:val="1"/>
                <w:sz w:val="24"/>
                <w:szCs w:val="24"/>
              </w:rPr>
              <w:t>d</w:t>
            </w:r>
            <w:r w:rsidRPr="00DC6C95">
              <w:rPr>
                <w:rFonts w:ascii="Times New Roman" w:hAnsi="Times New Roman"/>
                <w:sz w:val="24"/>
                <w:szCs w:val="24"/>
              </w:rPr>
              <w:t>er</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1"/>
                <w:sz w:val="24"/>
                <w:szCs w:val="24"/>
              </w:rPr>
              <w:t>u</w:t>
            </w:r>
            <w:r w:rsidRPr="00DC6C95">
              <w:rPr>
                <w:rFonts w:ascii="Times New Roman" w:hAnsi="Times New Roman"/>
                <w:spacing w:val="4"/>
                <w:sz w:val="24"/>
                <w:szCs w:val="24"/>
              </w:rPr>
              <w:t>b</w:t>
            </w:r>
            <w:r w:rsidRPr="00DC6C95">
              <w:rPr>
                <w:rFonts w:ascii="Times New Roman" w:hAnsi="Times New Roman"/>
                <w:spacing w:val="-2"/>
                <w:sz w:val="24"/>
                <w:szCs w:val="24"/>
              </w:rPr>
              <w:t>-</w:t>
            </w:r>
            <w:r w:rsidRPr="00DC6C95">
              <w:rPr>
                <w:rFonts w:ascii="Times New Roman" w:hAnsi="Times New Roman"/>
                <w:spacing w:val="1"/>
                <w:sz w:val="24"/>
                <w:szCs w:val="24"/>
              </w:rPr>
              <w:t>s</w:t>
            </w:r>
            <w:r w:rsidRPr="00DC6C95">
              <w:rPr>
                <w:rFonts w:ascii="Times New Roman" w:hAnsi="Times New Roman"/>
                <w:sz w:val="24"/>
                <w:szCs w:val="24"/>
              </w:rPr>
              <w:t>e</w:t>
            </w:r>
            <w:r w:rsidRPr="00DC6C95">
              <w:rPr>
                <w:rFonts w:ascii="Times New Roman" w:hAnsi="Times New Roman"/>
                <w:spacing w:val="-2"/>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w:t>
            </w:r>
            <w:r w:rsidRPr="00DC6C95">
              <w:rPr>
                <w:rFonts w:ascii="Times New Roman" w:hAnsi="Times New Roman"/>
                <w:spacing w:val="1"/>
                <w:sz w:val="24"/>
                <w:szCs w:val="24"/>
              </w:rPr>
              <w:t>3</w:t>
            </w:r>
            <w:r w:rsidRPr="00DC6C95">
              <w:rPr>
                <w:rFonts w:ascii="Times New Roman" w:hAnsi="Times New Roman"/>
                <w:sz w:val="24"/>
                <w:szCs w:val="24"/>
              </w:rPr>
              <w:t>)</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sidRPr="00DC6C95">
              <w:rPr>
                <w:rFonts w:ascii="Times New Roman" w:hAnsi="Times New Roman"/>
                <w:spacing w:val="-1"/>
                <w:sz w:val="24"/>
                <w:szCs w:val="24"/>
              </w:rPr>
              <w:t>1</w:t>
            </w:r>
            <w:r w:rsidRPr="00DC6C95">
              <w:rPr>
                <w:rFonts w:ascii="Times New Roman" w:hAnsi="Times New Roman"/>
                <w:sz w:val="24"/>
                <w:szCs w:val="24"/>
              </w:rPr>
              <w:t>7</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 xml:space="preserve">t; </w:t>
            </w:r>
            <w:r w:rsidRPr="00DC6C95">
              <w:rPr>
                <w:rFonts w:ascii="Times New Roman" w:hAnsi="Times New Roman"/>
                <w:spacing w:val="1"/>
                <w:sz w:val="24"/>
                <w:szCs w:val="24"/>
              </w:rPr>
              <w:t>o</w:t>
            </w:r>
            <w:r w:rsidRPr="00DC6C95">
              <w:rPr>
                <w:rFonts w:ascii="Times New Roman" w:hAnsi="Times New Roman"/>
                <w:sz w:val="24"/>
                <w:szCs w:val="24"/>
              </w:rPr>
              <w:t>r</w:t>
            </w:r>
          </w:p>
          <w:p w14:paraId="2E7DB1E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lastRenderedPageBreak/>
              <w:t>Exclusivity of CGD network separately, if not covered under such application for authorization; or</w:t>
            </w:r>
          </w:p>
          <w:p w14:paraId="271FAD69"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Expansion of common carrier or contract carrier pipelines or CGD </w:t>
            </w:r>
            <w:proofErr w:type="gramStart"/>
            <w:r w:rsidRPr="00DC6C95">
              <w:rPr>
                <w:rFonts w:ascii="Times New Roman" w:hAnsi="Times New Roman"/>
                <w:spacing w:val="-1"/>
                <w:sz w:val="24"/>
                <w:szCs w:val="24"/>
              </w:rPr>
              <w:t>networks.---</w:t>
            </w:r>
            <w:proofErr w:type="gramEnd"/>
          </w:p>
          <w:p w14:paraId="054C6698"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u w:val="single"/>
              </w:rPr>
            </w:pPr>
            <w:r w:rsidRPr="00DC6C95">
              <w:rPr>
                <w:rFonts w:ascii="Times New Roman" w:hAnsi="Times New Roman"/>
                <w:spacing w:val="-1"/>
                <w:sz w:val="24"/>
                <w:szCs w:val="24"/>
                <w:u w:val="single"/>
              </w:rPr>
              <w:t>CGD Proposal:</w:t>
            </w:r>
          </w:p>
          <w:p w14:paraId="5F0899B4"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Geographical Areas with a population of one million and above as per latest Census</w:t>
            </w:r>
          </w:p>
          <w:p w14:paraId="67FD68FA" w14:textId="77777777" w:rsidR="00DE6176" w:rsidRPr="00DC6C95" w:rsidRDefault="00DE6176" w:rsidP="00256B0A">
            <w:pPr>
              <w:pStyle w:val="ListParagraph"/>
              <w:widowControl w:val="0"/>
              <w:autoSpaceDE w:val="0"/>
              <w:autoSpaceDN w:val="0"/>
              <w:adjustRightInd w:val="0"/>
              <w:spacing w:after="0" w:line="360" w:lineRule="auto"/>
              <w:ind w:left="314"/>
              <w:jc w:val="both"/>
              <w:rPr>
                <w:rFonts w:ascii="Times New Roman" w:hAnsi="Times New Roman"/>
                <w:spacing w:val="-1"/>
                <w:sz w:val="24"/>
                <w:szCs w:val="24"/>
              </w:rPr>
            </w:pPr>
          </w:p>
          <w:p w14:paraId="7FB12FCF"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Other Geographical Areas</w:t>
            </w:r>
          </w:p>
          <w:p w14:paraId="4B84151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p>
          <w:p w14:paraId="252A7ED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u w:val="single"/>
              </w:rPr>
            </w:pPr>
            <w:r w:rsidRPr="00DC6C95">
              <w:rPr>
                <w:rFonts w:ascii="Times New Roman" w:hAnsi="Times New Roman"/>
                <w:spacing w:val="-1"/>
                <w:sz w:val="24"/>
                <w:szCs w:val="24"/>
                <w:u w:val="single"/>
              </w:rPr>
              <w:t>Pipeline Proposal:</w:t>
            </w:r>
          </w:p>
          <w:p w14:paraId="6A516D6D" w14:textId="2688B890"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Spur lines</w:t>
            </w:r>
            <w:r w:rsidR="00C64B8E">
              <w:rPr>
                <w:rFonts w:ascii="Times New Roman" w:hAnsi="Times New Roman"/>
                <w:spacing w:val="-1"/>
                <w:sz w:val="24"/>
                <w:szCs w:val="24"/>
              </w:rPr>
              <w:t xml:space="preserve"> </w:t>
            </w:r>
            <w:r w:rsidR="00C64B8E">
              <w:rPr>
                <w:rStyle w:val="FootnoteReference"/>
                <w:rFonts w:ascii="Times New Roman" w:hAnsi="Times New Roman"/>
                <w:spacing w:val="-1"/>
                <w:sz w:val="24"/>
                <w:szCs w:val="24"/>
              </w:rPr>
              <w:footnoteReference w:id="5"/>
            </w:r>
            <w:r w:rsidR="00C64B8E">
              <w:rPr>
                <w:rFonts w:ascii="Times New Roman" w:hAnsi="Times New Roman"/>
                <w:spacing w:val="-1"/>
                <w:sz w:val="24"/>
                <w:szCs w:val="24"/>
              </w:rPr>
              <w:t>[</w:t>
            </w:r>
            <w:r w:rsidR="00C64B8E" w:rsidRPr="00C64B8E">
              <w:rPr>
                <w:rFonts w:ascii="Times New Roman" w:hAnsi="Times New Roman"/>
                <w:spacing w:val="-1"/>
                <w:sz w:val="24"/>
                <w:szCs w:val="24"/>
              </w:rPr>
              <w:t>/Tie-in connectivity pipeline</w:t>
            </w:r>
            <w:r w:rsidR="00C64B8E">
              <w:rPr>
                <w:rFonts w:ascii="Times New Roman" w:hAnsi="Times New Roman"/>
                <w:spacing w:val="-1"/>
                <w:sz w:val="24"/>
                <w:szCs w:val="24"/>
              </w:rPr>
              <w:t>]</w:t>
            </w:r>
          </w:p>
          <w:p w14:paraId="50DFCE95"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w:t>
            </w:r>
            <w:proofErr w:type="spellStart"/>
            <w:r w:rsidRPr="00DC6C95">
              <w:rPr>
                <w:rFonts w:ascii="Times New Roman" w:hAnsi="Times New Roman"/>
                <w:spacing w:val="-1"/>
                <w:sz w:val="24"/>
                <w:szCs w:val="24"/>
              </w:rPr>
              <w:t>upto</w:t>
            </w:r>
            <w:proofErr w:type="spellEnd"/>
            <w:r w:rsidRPr="00DC6C95">
              <w:rPr>
                <w:rFonts w:ascii="Times New Roman" w:hAnsi="Times New Roman"/>
                <w:spacing w:val="-1"/>
                <w:sz w:val="24"/>
                <w:szCs w:val="24"/>
              </w:rPr>
              <w:t xml:space="preserve"> 500 </w:t>
            </w:r>
            <w:proofErr w:type="spellStart"/>
            <w:r w:rsidRPr="00DC6C95">
              <w:rPr>
                <w:rFonts w:ascii="Times New Roman" w:hAnsi="Times New Roman"/>
                <w:spacing w:val="-1"/>
                <w:sz w:val="24"/>
                <w:szCs w:val="24"/>
              </w:rPr>
              <w:t>Kilometers</w:t>
            </w:r>
            <w:proofErr w:type="spellEnd"/>
          </w:p>
          <w:p w14:paraId="3504F7C1"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more than 500 </w:t>
            </w:r>
            <w:proofErr w:type="spellStart"/>
            <w:r w:rsidRPr="00DC6C95">
              <w:rPr>
                <w:rFonts w:ascii="Times New Roman" w:hAnsi="Times New Roman"/>
                <w:spacing w:val="-1"/>
                <w:sz w:val="24"/>
                <w:szCs w:val="24"/>
              </w:rPr>
              <w:t>Kilometers</w:t>
            </w:r>
            <w:proofErr w:type="spellEnd"/>
          </w:p>
          <w:p w14:paraId="1AA187D9" w14:textId="77777777" w:rsidR="00DE6176" w:rsidRPr="00DC6C95" w:rsidRDefault="00DE6176" w:rsidP="00256B0A">
            <w:pPr>
              <w:widowControl w:val="0"/>
              <w:tabs>
                <w:tab w:val="left" w:pos="5371"/>
              </w:tabs>
              <w:autoSpaceDE w:val="0"/>
              <w:autoSpaceDN w:val="0"/>
              <w:adjustRightInd w:val="0"/>
              <w:spacing w:after="0" w:line="360" w:lineRule="auto"/>
              <w:jc w:val="both"/>
              <w:rPr>
                <w:rFonts w:ascii="Times New Roman" w:hAnsi="Times New Roman"/>
                <w:spacing w:val="-1"/>
                <w:sz w:val="24"/>
                <w:szCs w:val="24"/>
                <w:u w:val="single"/>
              </w:rPr>
            </w:pPr>
          </w:p>
        </w:tc>
        <w:tc>
          <w:tcPr>
            <w:tcW w:w="2696" w:type="dxa"/>
          </w:tcPr>
          <w:p w14:paraId="41E5566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630FE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09C330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35E27D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E2B925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89ACE2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5E39C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7EDA37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2A57EE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72030A6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9B24BF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15,00,000</w:t>
            </w:r>
          </w:p>
          <w:p w14:paraId="4818E7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E7C7A1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08649E9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17241531"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30,00,000</w:t>
            </w:r>
          </w:p>
          <w:p w14:paraId="5E4DBD9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40,00,000</w:t>
            </w:r>
          </w:p>
        </w:tc>
      </w:tr>
      <w:tr w:rsidR="00DE6176" w14:paraId="2950F620" w14:textId="77777777" w:rsidTr="00256B0A">
        <w:tc>
          <w:tcPr>
            <w:tcW w:w="1240" w:type="dxa"/>
          </w:tcPr>
          <w:p w14:paraId="2683C85D"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8AA6FD4"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Formulation or updating or amending of any regulation or standard or specification including safety standard</w:t>
            </w:r>
          </w:p>
        </w:tc>
        <w:tc>
          <w:tcPr>
            <w:tcW w:w="2696" w:type="dxa"/>
          </w:tcPr>
          <w:p w14:paraId="2D90DBE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w:t>
            </w:r>
          </w:p>
        </w:tc>
      </w:tr>
      <w:tr w:rsidR="00DE6176" w14:paraId="1EF81D2A" w14:textId="77777777" w:rsidTr="00256B0A">
        <w:tc>
          <w:tcPr>
            <w:tcW w:w="1240" w:type="dxa"/>
          </w:tcPr>
          <w:p w14:paraId="21FEEE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C1E4177"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Certified copy of the order of the Board</w:t>
            </w:r>
          </w:p>
        </w:tc>
        <w:tc>
          <w:tcPr>
            <w:tcW w:w="2696" w:type="dxa"/>
          </w:tcPr>
          <w:p w14:paraId="3FC2606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w:t>
            </w:r>
          </w:p>
        </w:tc>
      </w:tr>
      <w:tr w:rsidR="003A70C8" w14:paraId="2F324E0E" w14:textId="77777777" w:rsidTr="00256B0A">
        <w:tc>
          <w:tcPr>
            <w:tcW w:w="1240" w:type="dxa"/>
          </w:tcPr>
          <w:p w14:paraId="7651A8F7" w14:textId="063C0D55" w:rsidR="003A70C8" w:rsidRPr="003A70C8" w:rsidRDefault="003A70C8" w:rsidP="003A70C8">
            <w:pPr>
              <w:widowControl w:val="0"/>
              <w:autoSpaceDE w:val="0"/>
              <w:autoSpaceDN w:val="0"/>
              <w:adjustRightInd w:val="0"/>
              <w:spacing w:after="0" w:line="360" w:lineRule="auto"/>
              <w:ind w:left="164"/>
              <w:contextualSpacing/>
              <w:jc w:val="center"/>
              <w:rPr>
                <w:rFonts w:ascii="Times New Roman" w:hAnsi="Times New Roman"/>
                <w:sz w:val="24"/>
                <w:szCs w:val="24"/>
              </w:rPr>
            </w:pPr>
            <w:r>
              <w:rPr>
                <w:rStyle w:val="FootnoteReference"/>
                <w:rFonts w:ascii="Times New Roman" w:hAnsi="Times New Roman"/>
                <w:sz w:val="24"/>
                <w:szCs w:val="24"/>
              </w:rPr>
              <w:footnoteReference w:id="6"/>
            </w:r>
            <w:r>
              <w:rPr>
                <w:rFonts w:ascii="Times New Roman" w:hAnsi="Times New Roman"/>
                <w:sz w:val="24"/>
                <w:szCs w:val="24"/>
              </w:rPr>
              <w:t>[5A</w:t>
            </w:r>
          </w:p>
        </w:tc>
        <w:tc>
          <w:tcPr>
            <w:tcW w:w="5080" w:type="dxa"/>
          </w:tcPr>
          <w:p w14:paraId="35CBF4C8" w14:textId="689B9F97" w:rsidR="003A70C8" w:rsidRPr="00DC6C95" w:rsidRDefault="003A70C8" w:rsidP="00256B0A">
            <w:pPr>
              <w:widowControl w:val="0"/>
              <w:autoSpaceDE w:val="0"/>
              <w:autoSpaceDN w:val="0"/>
              <w:adjustRightInd w:val="0"/>
              <w:spacing w:after="0" w:line="360" w:lineRule="auto"/>
              <w:jc w:val="both"/>
              <w:rPr>
                <w:rFonts w:ascii="Times New Roman" w:hAnsi="Times New Roman"/>
                <w:spacing w:val="-1"/>
                <w:sz w:val="24"/>
                <w:szCs w:val="24"/>
              </w:rPr>
            </w:pPr>
            <w:r w:rsidRPr="003A70C8">
              <w:rPr>
                <w:rFonts w:ascii="Times New Roman" w:hAnsi="Times New Roman"/>
                <w:spacing w:val="-1"/>
                <w:sz w:val="24"/>
                <w:szCs w:val="24"/>
              </w:rPr>
              <w:t>Certified copy of any other document</w:t>
            </w:r>
          </w:p>
        </w:tc>
        <w:tc>
          <w:tcPr>
            <w:tcW w:w="2696" w:type="dxa"/>
          </w:tcPr>
          <w:p w14:paraId="6C7A699B" w14:textId="48244CBA" w:rsidR="003A70C8" w:rsidRPr="00DC6C95"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r w:rsidRPr="003A70C8">
              <w:rPr>
                <w:rFonts w:ascii="Times New Roman" w:hAnsi="Times New Roman"/>
                <w:spacing w:val="1"/>
                <w:sz w:val="24"/>
                <w:szCs w:val="24"/>
              </w:rPr>
              <w:t>50/- per page</w:t>
            </w:r>
            <w:r>
              <w:rPr>
                <w:rFonts w:ascii="Times New Roman" w:hAnsi="Times New Roman"/>
                <w:spacing w:val="1"/>
                <w:sz w:val="24"/>
                <w:szCs w:val="24"/>
              </w:rPr>
              <w:t>]</w:t>
            </w:r>
          </w:p>
        </w:tc>
      </w:tr>
      <w:tr w:rsidR="00DE6176" w14:paraId="7E966D50" w14:textId="77777777" w:rsidTr="00256B0A">
        <w:tc>
          <w:tcPr>
            <w:tcW w:w="1240" w:type="dxa"/>
          </w:tcPr>
          <w:p w14:paraId="2F83A961"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905AEE6"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Modification or review of Board’s order under clause (h) of sub-section (1) of section 13 of the Act</w:t>
            </w:r>
          </w:p>
        </w:tc>
        <w:tc>
          <w:tcPr>
            <w:tcW w:w="2696" w:type="dxa"/>
          </w:tcPr>
          <w:p w14:paraId="1A13A4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60,000</w:t>
            </w:r>
          </w:p>
        </w:tc>
      </w:tr>
      <w:tr w:rsidR="00DE6176" w14:paraId="771E7E3E" w14:textId="77777777" w:rsidTr="00256B0A">
        <w:tc>
          <w:tcPr>
            <w:tcW w:w="1240" w:type="dxa"/>
          </w:tcPr>
          <w:p w14:paraId="6BEC7F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AF2070B"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Obtaining a certified copy of an entry in the register under sub-section (4) of section 14 of the Act (per page)</w:t>
            </w:r>
          </w:p>
        </w:tc>
        <w:tc>
          <w:tcPr>
            <w:tcW w:w="2696" w:type="dxa"/>
          </w:tcPr>
          <w:p w14:paraId="62050F0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w:t>
            </w:r>
          </w:p>
        </w:tc>
      </w:tr>
      <w:tr w:rsidR="00DE6176" w14:paraId="3BD5E32E" w14:textId="77777777" w:rsidTr="00256B0A">
        <w:tc>
          <w:tcPr>
            <w:tcW w:w="1240" w:type="dxa"/>
          </w:tcPr>
          <w:p w14:paraId="67DE16A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E17972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Inspection of Petroleum and Natural Gas Register</w:t>
            </w:r>
          </w:p>
          <w:p w14:paraId="7A0F6E03"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(per inspection)</w:t>
            </w:r>
          </w:p>
        </w:tc>
        <w:tc>
          <w:tcPr>
            <w:tcW w:w="2696" w:type="dxa"/>
          </w:tcPr>
          <w:p w14:paraId="3CFC7309"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w:t>
            </w:r>
          </w:p>
        </w:tc>
      </w:tr>
      <w:tr w:rsidR="00DE6176" w14:paraId="11DA08D8" w14:textId="77777777" w:rsidTr="00256B0A">
        <w:trPr>
          <w:trHeight w:val="416"/>
        </w:trPr>
        <w:tc>
          <w:tcPr>
            <w:tcW w:w="1240" w:type="dxa"/>
          </w:tcPr>
          <w:p w14:paraId="17793D6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1360651" w14:textId="77777777" w:rsidR="00DE6176" w:rsidRPr="00DC6C95" w:rsidRDefault="00DE6176" w:rsidP="00DE6176">
            <w:pPr>
              <w:pStyle w:val="ListParagraph"/>
              <w:widowControl w:val="0"/>
              <w:numPr>
                <w:ilvl w:val="0"/>
                <w:numId w:val="6"/>
              </w:numPr>
              <w:autoSpaceDE w:val="0"/>
              <w:autoSpaceDN w:val="0"/>
              <w:adjustRightInd w:val="0"/>
              <w:spacing w:after="0" w:line="360" w:lineRule="auto"/>
              <w:ind w:left="314" w:hanging="341"/>
              <w:contextualSpacing/>
              <w:jc w:val="both"/>
              <w:rPr>
                <w:rFonts w:ascii="Times New Roman" w:hAnsi="Times New Roman"/>
                <w:spacing w:val="-1"/>
                <w:sz w:val="24"/>
                <w:szCs w:val="24"/>
              </w:rPr>
            </w:pPr>
            <w:r w:rsidRPr="00DC6C95">
              <w:rPr>
                <w:rFonts w:ascii="Times New Roman" w:hAnsi="Times New Roman"/>
                <w:spacing w:val="-1"/>
                <w:sz w:val="24"/>
                <w:szCs w:val="24"/>
              </w:rPr>
              <w:t>Filing a complaint under sub-section (2) of section</w:t>
            </w:r>
            <w:r>
              <w:rPr>
                <w:rFonts w:ascii="Times New Roman" w:hAnsi="Times New Roman"/>
                <w:spacing w:val="-1"/>
                <w:sz w:val="24"/>
                <w:szCs w:val="24"/>
              </w:rPr>
              <w:t xml:space="preserve"> </w:t>
            </w:r>
            <w:r w:rsidRPr="00DC6C95">
              <w:rPr>
                <w:rFonts w:ascii="Times New Roman" w:hAnsi="Times New Roman"/>
                <w:spacing w:val="-1"/>
                <w:sz w:val="24"/>
                <w:szCs w:val="24"/>
              </w:rPr>
              <w:t>25 of the Act (per complaint) by-</w:t>
            </w:r>
          </w:p>
          <w:p w14:paraId="309D201A"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Entities or commercial customers </w:t>
            </w:r>
          </w:p>
          <w:p w14:paraId="16E554A6"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lastRenderedPageBreak/>
              <w:t xml:space="preserve">Voluntary consumer organization or non-Governmental organizations representing individuals other than on matters maintainable before a consumer Redressal Forum set up under the Consumer Protection Act, 1986 (68 of 1986) as specified under sub-section (1) of section 25 of the Act. </w:t>
            </w:r>
          </w:p>
          <w:p w14:paraId="76ED178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(ii)  Filing of Miscellaneous Applications under section 24 or 25 of the Act (not covered above)</w:t>
            </w:r>
          </w:p>
        </w:tc>
        <w:tc>
          <w:tcPr>
            <w:tcW w:w="2696" w:type="dxa"/>
          </w:tcPr>
          <w:p w14:paraId="00AD85B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BEFA34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358E1C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w:t>
            </w:r>
          </w:p>
          <w:p w14:paraId="13DA204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2149C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BD15F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w:t>
            </w:r>
          </w:p>
          <w:p w14:paraId="0A56610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ED4D33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5B782A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C1C17C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CCA438E"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68E72E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w:t>
            </w:r>
          </w:p>
        </w:tc>
      </w:tr>
      <w:tr w:rsidR="00DE6176" w14:paraId="5FE24488" w14:textId="77777777" w:rsidTr="00256B0A">
        <w:trPr>
          <w:trHeight w:val="1191"/>
        </w:trPr>
        <w:tc>
          <w:tcPr>
            <w:tcW w:w="1240" w:type="dxa"/>
          </w:tcPr>
          <w:p w14:paraId="7491F78B" w14:textId="619B5354" w:rsidR="00DE6176" w:rsidRPr="003A70C8" w:rsidRDefault="003A70C8" w:rsidP="003A70C8">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lastRenderedPageBreak/>
              <w:footnoteReference w:id="7"/>
            </w:r>
            <w:r>
              <w:rPr>
                <w:rFonts w:ascii="Times New Roman" w:hAnsi="Times New Roman"/>
                <w:sz w:val="24"/>
                <w:szCs w:val="24"/>
              </w:rPr>
              <w:t>[10.</w:t>
            </w:r>
          </w:p>
        </w:tc>
        <w:tc>
          <w:tcPr>
            <w:tcW w:w="5080" w:type="dxa"/>
          </w:tcPr>
          <w:p w14:paraId="193F8927" w14:textId="05E24009"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Empanelment of Third Party Inspection Agency (TPIA)</w:t>
            </w:r>
            <w:r>
              <w:rPr>
                <w:rFonts w:ascii="Times New Roman" w:hAnsi="Times New Roman"/>
                <w:spacing w:val="-1"/>
                <w:sz w:val="24"/>
                <w:szCs w:val="24"/>
              </w:rPr>
              <w:t xml:space="preserve"> </w:t>
            </w:r>
            <w:r w:rsidRPr="003A70C8">
              <w:rPr>
                <w:rFonts w:ascii="Times New Roman" w:hAnsi="Times New Roman"/>
                <w:spacing w:val="-1"/>
                <w:sz w:val="24"/>
                <w:szCs w:val="24"/>
              </w:rPr>
              <w:t>for conducting inspections/ audits/ certifications under</w:t>
            </w:r>
            <w:r>
              <w:rPr>
                <w:rFonts w:ascii="Times New Roman" w:hAnsi="Times New Roman"/>
                <w:spacing w:val="-1"/>
                <w:sz w:val="24"/>
                <w:szCs w:val="24"/>
              </w:rPr>
              <w:t xml:space="preserve"> </w:t>
            </w:r>
            <w:r w:rsidRPr="003A70C8">
              <w:rPr>
                <w:rFonts w:ascii="Times New Roman" w:hAnsi="Times New Roman"/>
                <w:spacing w:val="-1"/>
                <w:sz w:val="24"/>
                <w:szCs w:val="24"/>
              </w:rPr>
              <w:t>relevant T4S, IMS and ERDMP regulations etc –</w:t>
            </w:r>
          </w:p>
          <w:p w14:paraId="26D2F5DA" w14:textId="11118D5A"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(The fee is separate for empanelment under T4S, IMS &amp;</w:t>
            </w:r>
            <w:r>
              <w:rPr>
                <w:rFonts w:ascii="Times New Roman" w:hAnsi="Times New Roman"/>
                <w:spacing w:val="-1"/>
                <w:sz w:val="24"/>
                <w:szCs w:val="24"/>
              </w:rPr>
              <w:t xml:space="preserve"> </w:t>
            </w:r>
            <w:r w:rsidRPr="003A70C8">
              <w:rPr>
                <w:rFonts w:ascii="Times New Roman" w:hAnsi="Times New Roman"/>
                <w:spacing w:val="-1"/>
                <w:sz w:val="24"/>
                <w:szCs w:val="24"/>
              </w:rPr>
              <w:t>ERDMP Regulations)</w:t>
            </w:r>
          </w:p>
          <w:p w14:paraId="062E7781" w14:textId="77777777" w:rsidR="003A70C8"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(a) First Year</w:t>
            </w:r>
          </w:p>
          <w:p w14:paraId="193DE695" w14:textId="3FAB3208" w:rsidR="00DE6176" w:rsidRPr="003A70C8" w:rsidRDefault="003A70C8" w:rsidP="003A70C8">
            <w:pPr>
              <w:widowControl w:val="0"/>
              <w:autoSpaceDE w:val="0"/>
              <w:autoSpaceDN w:val="0"/>
              <w:adjustRightInd w:val="0"/>
              <w:spacing w:after="0" w:line="360" w:lineRule="auto"/>
              <w:contextualSpacing/>
              <w:jc w:val="both"/>
              <w:rPr>
                <w:rFonts w:ascii="Times New Roman" w:hAnsi="Times New Roman"/>
                <w:spacing w:val="-1"/>
                <w:sz w:val="24"/>
                <w:szCs w:val="24"/>
              </w:rPr>
            </w:pPr>
            <w:r w:rsidRPr="003A70C8">
              <w:rPr>
                <w:rFonts w:ascii="Times New Roman" w:hAnsi="Times New Roman"/>
                <w:spacing w:val="-1"/>
                <w:sz w:val="24"/>
                <w:szCs w:val="24"/>
              </w:rPr>
              <w:t>(b) Subsequent years</w:t>
            </w:r>
          </w:p>
        </w:tc>
        <w:tc>
          <w:tcPr>
            <w:tcW w:w="2696" w:type="dxa"/>
          </w:tcPr>
          <w:p w14:paraId="76C3A3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39F5D4D"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041C99D9"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1FC32CCF"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5CC7FC9C"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507793F9" w14:textId="77777777" w:rsidR="003A70C8" w:rsidRDefault="003A70C8" w:rsidP="00256B0A">
            <w:pPr>
              <w:widowControl w:val="0"/>
              <w:autoSpaceDE w:val="0"/>
              <w:autoSpaceDN w:val="0"/>
              <w:adjustRightInd w:val="0"/>
              <w:spacing w:after="0" w:line="360" w:lineRule="auto"/>
              <w:jc w:val="center"/>
              <w:rPr>
                <w:rFonts w:ascii="Times New Roman" w:hAnsi="Times New Roman"/>
                <w:spacing w:val="1"/>
                <w:sz w:val="24"/>
                <w:szCs w:val="24"/>
              </w:rPr>
            </w:pPr>
          </w:p>
          <w:p w14:paraId="4A5A5571" w14:textId="6D5AD3AD"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1,00,000</w:t>
            </w:r>
          </w:p>
          <w:p w14:paraId="068CBAAD" w14:textId="72260AB6"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50,000</w:t>
            </w:r>
            <w:r w:rsidR="003A70C8">
              <w:rPr>
                <w:rFonts w:ascii="Times New Roman" w:hAnsi="Times New Roman"/>
                <w:spacing w:val="1"/>
                <w:sz w:val="24"/>
                <w:szCs w:val="24"/>
              </w:rPr>
              <w:t>]</w:t>
            </w:r>
          </w:p>
        </w:tc>
      </w:tr>
      <w:tr w:rsidR="00DE6176" w14:paraId="5726571D" w14:textId="77777777" w:rsidTr="00256B0A">
        <w:trPr>
          <w:trHeight w:val="1191"/>
        </w:trPr>
        <w:tc>
          <w:tcPr>
            <w:tcW w:w="1240" w:type="dxa"/>
          </w:tcPr>
          <w:p w14:paraId="094891E2" w14:textId="77376E74" w:rsidR="00DE6176" w:rsidRPr="00DE6176" w:rsidRDefault="00DE6176" w:rsidP="00DE6176">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[11.</w:t>
            </w:r>
          </w:p>
        </w:tc>
        <w:tc>
          <w:tcPr>
            <w:tcW w:w="5080" w:type="dxa"/>
          </w:tcPr>
          <w:p w14:paraId="70B05E4B" w14:textId="05F561A5"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Application fee for seeking authorisation under</w:t>
            </w:r>
            <w:r>
              <w:rPr>
                <w:rFonts w:ascii="Times New Roman" w:hAnsi="Times New Roman"/>
                <w:spacing w:val="-1"/>
                <w:sz w:val="24"/>
                <w:szCs w:val="24"/>
              </w:rPr>
              <w:t xml:space="preserve"> </w:t>
            </w:r>
            <w:r w:rsidRPr="00DE6176">
              <w:rPr>
                <w:rFonts w:ascii="Times New Roman" w:hAnsi="Times New Roman"/>
                <w:spacing w:val="-1"/>
                <w:sz w:val="24"/>
                <w:szCs w:val="24"/>
              </w:rPr>
              <w:t>regulation 8 or renewal of authorisation under regulation 12 of the Petroleum and Natural Gas Regulatory Board (Gas Exchange) Regulations, 2020:</w:t>
            </w:r>
          </w:p>
          <w:p w14:paraId="391E4840"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(a) for a Gas Exchange with Clearing Corporation; or </w:t>
            </w:r>
          </w:p>
          <w:p w14:paraId="59C69365"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(b) for a Gas Exchange without Clearing Corporation; or </w:t>
            </w:r>
          </w:p>
          <w:p w14:paraId="40114984" w14:textId="321162DB" w:rsidR="00DE6176" w:rsidRPr="00DC6C95"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(c) for a Clearing Corporation</w:t>
            </w:r>
          </w:p>
        </w:tc>
        <w:tc>
          <w:tcPr>
            <w:tcW w:w="2696" w:type="dxa"/>
          </w:tcPr>
          <w:p w14:paraId="7A9DE0DB"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D29AC01"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23E328E" w14:textId="02B86641"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E6176">
              <w:rPr>
                <w:rFonts w:ascii="Times New Roman" w:hAnsi="Times New Roman"/>
                <w:spacing w:val="1"/>
                <w:sz w:val="24"/>
                <w:szCs w:val="24"/>
              </w:rPr>
              <w:t>3,00,000</w:t>
            </w:r>
            <w:r>
              <w:rPr>
                <w:rFonts w:ascii="Times New Roman" w:hAnsi="Times New Roman"/>
                <w:spacing w:val="1"/>
                <w:sz w:val="24"/>
                <w:szCs w:val="24"/>
              </w:rPr>
              <w:t>]</w:t>
            </w:r>
          </w:p>
        </w:tc>
      </w:tr>
      <w:tr w:rsidR="009129F9" w14:paraId="38478A79" w14:textId="77777777" w:rsidTr="00256B0A">
        <w:trPr>
          <w:trHeight w:val="1191"/>
        </w:trPr>
        <w:tc>
          <w:tcPr>
            <w:tcW w:w="1240" w:type="dxa"/>
          </w:tcPr>
          <w:p w14:paraId="785906C5" w14:textId="3C6315E2" w:rsidR="009129F9" w:rsidRDefault="00AD6A55" w:rsidP="005A5FA4">
            <w:pPr>
              <w:widowControl w:val="0"/>
              <w:autoSpaceDE w:val="0"/>
              <w:autoSpaceDN w:val="0"/>
              <w:adjustRightInd w:val="0"/>
              <w:spacing w:after="0" w:line="360" w:lineRule="auto"/>
              <w:ind w:left="164"/>
              <w:contextualSpacing/>
              <w:jc w:val="center"/>
              <w:rPr>
                <w:rStyle w:val="FootnoteReference"/>
                <w:rFonts w:ascii="Times New Roman" w:hAnsi="Times New Roman"/>
                <w:sz w:val="24"/>
                <w:szCs w:val="24"/>
              </w:rPr>
            </w:pPr>
            <w:r>
              <w:rPr>
                <w:rFonts w:ascii="Times New Roman" w:hAnsi="Times New Roman"/>
                <w:sz w:val="24"/>
                <w:szCs w:val="24"/>
              </w:rPr>
              <w:lastRenderedPageBreak/>
              <w:t xml:space="preserve"> </w:t>
            </w:r>
            <w:r w:rsidR="005D3C13">
              <w:rPr>
                <w:rStyle w:val="FootnoteReference"/>
                <w:rFonts w:ascii="Times New Roman" w:hAnsi="Times New Roman"/>
                <w:sz w:val="24"/>
                <w:szCs w:val="24"/>
              </w:rPr>
              <w:footnoteReference w:id="9"/>
            </w:r>
            <w:r w:rsidR="005D3C13">
              <w:rPr>
                <w:rFonts w:ascii="Times New Roman" w:hAnsi="Times New Roman"/>
                <w:sz w:val="24"/>
                <w:szCs w:val="24"/>
              </w:rPr>
              <w:t>[</w:t>
            </w:r>
            <w:r w:rsidR="005F49A2">
              <w:rPr>
                <w:rStyle w:val="FootnoteReference"/>
                <w:rFonts w:ascii="Times New Roman" w:hAnsi="Times New Roman"/>
                <w:sz w:val="24"/>
                <w:szCs w:val="24"/>
              </w:rPr>
              <w:footnoteReference w:id="10"/>
            </w:r>
            <w:r>
              <w:rPr>
                <w:rFonts w:ascii="Times New Roman" w:hAnsi="Times New Roman"/>
                <w:sz w:val="24"/>
                <w:szCs w:val="24"/>
              </w:rPr>
              <w:t xml:space="preserve"> </w:t>
            </w:r>
            <w:r w:rsidR="009129F9" w:rsidRPr="005A5FA4">
              <w:rPr>
                <w:rFonts w:ascii="Times New Roman" w:hAnsi="Times New Roman"/>
                <w:sz w:val="24"/>
                <w:szCs w:val="24"/>
              </w:rPr>
              <w:t>[12.</w:t>
            </w:r>
          </w:p>
        </w:tc>
        <w:tc>
          <w:tcPr>
            <w:tcW w:w="5080" w:type="dxa"/>
          </w:tcPr>
          <w:p w14:paraId="6998F02C" w14:textId="77777777" w:rsidR="005D3C13" w:rsidRDefault="005D3C13" w:rsidP="009129F9">
            <w:pPr>
              <w:widowControl w:val="0"/>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 xml:space="preserve">a) Application for renunciation of authorization in favour of another entity; (or) (Refer No. 2) </w:t>
            </w:r>
          </w:p>
          <w:p w14:paraId="389CD26D" w14:textId="77777777" w:rsidR="005D3C13" w:rsidRDefault="005D3C13" w:rsidP="009129F9">
            <w:pPr>
              <w:widowControl w:val="0"/>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 xml:space="preserve">b) Application for transfer of authorization involving transfer of majority equity shareholding/ stake (at least 51%); (or) (Refer No. 2) </w:t>
            </w:r>
          </w:p>
          <w:p w14:paraId="2FD166E6" w14:textId="77777777" w:rsidR="005D3C13" w:rsidRDefault="005D3C13" w:rsidP="009129F9">
            <w:pPr>
              <w:widowControl w:val="0"/>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 xml:space="preserve">c) Application for transfer of authorisation by the entity to its wholly owned subsidiary company (Refer No. 2); (or) </w:t>
            </w:r>
          </w:p>
          <w:p w14:paraId="0A659E7E" w14:textId="12C38195" w:rsidR="009129F9" w:rsidRPr="00DE6176" w:rsidRDefault="005D3C13" w:rsidP="009129F9">
            <w:pPr>
              <w:widowControl w:val="0"/>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d) Transfer of authorisation by the wholly owned subsidiary company to its parent company (Refer No. 2).</w:t>
            </w:r>
            <w:r>
              <w:rPr>
                <w:rFonts w:ascii="Times New Roman" w:hAnsi="Times New Roman"/>
                <w:spacing w:val="-1"/>
                <w:sz w:val="24"/>
                <w:szCs w:val="24"/>
              </w:rPr>
              <w:t>]</w:t>
            </w:r>
          </w:p>
        </w:tc>
        <w:tc>
          <w:tcPr>
            <w:tcW w:w="2696" w:type="dxa"/>
          </w:tcPr>
          <w:p w14:paraId="71151BF7" w14:textId="77777777" w:rsid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p>
          <w:p w14:paraId="3874C71D" w14:textId="77777777" w:rsid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p>
          <w:p w14:paraId="5A8761C9" w14:textId="7DF844CF" w:rsidR="009129F9" w:rsidRP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r w:rsidRPr="009129F9">
              <w:rPr>
                <w:rFonts w:ascii="Times New Roman" w:hAnsi="Times New Roman"/>
                <w:spacing w:val="1"/>
                <w:sz w:val="24"/>
                <w:szCs w:val="24"/>
              </w:rPr>
              <w:t>20,00,000 per</w:t>
            </w:r>
          </w:p>
          <w:p w14:paraId="777E030A" w14:textId="16BF3E67" w:rsidR="009129F9" w:rsidRDefault="009129F9" w:rsidP="009129F9">
            <w:pPr>
              <w:widowControl w:val="0"/>
              <w:autoSpaceDE w:val="0"/>
              <w:autoSpaceDN w:val="0"/>
              <w:adjustRightInd w:val="0"/>
              <w:spacing w:after="0" w:line="360" w:lineRule="auto"/>
              <w:jc w:val="center"/>
              <w:rPr>
                <w:rFonts w:ascii="Times New Roman" w:hAnsi="Times New Roman"/>
                <w:spacing w:val="1"/>
                <w:sz w:val="24"/>
                <w:szCs w:val="24"/>
              </w:rPr>
            </w:pPr>
            <w:r w:rsidRPr="009129F9">
              <w:rPr>
                <w:rFonts w:ascii="Times New Roman" w:hAnsi="Times New Roman"/>
                <w:spacing w:val="1"/>
                <w:sz w:val="24"/>
                <w:szCs w:val="24"/>
              </w:rPr>
              <w:t>GA/pipeline</w:t>
            </w:r>
          </w:p>
        </w:tc>
      </w:tr>
      <w:tr w:rsidR="009129F9" w14:paraId="3B8BC808" w14:textId="77777777" w:rsidTr="005A5FA4">
        <w:trPr>
          <w:trHeight w:val="820"/>
        </w:trPr>
        <w:tc>
          <w:tcPr>
            <w:tcW w:w="1240" w:type="dxa"/>
          </w:tcPr>
          <w:p w14:paraId="4EA5C5E5" w14:textId="1055F8D4" w:rsidR="009129F9" w:rsidRDefault="005D3C13" w:rsidP="00DE6176">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footnoteReference w:id="11"/>
            </w:r>
            <w:r>
              <w:rPr>
                <w:rFonts w:ascii="Times New Roman" w:hAnsi="Times New Roman"/>
                <w:sz w:val="24"/>
                <w:szCs w:val="24"/>
              </w:rPr>
              <w:t>[</w:t>
            </w:r>
            <w:r w:rsidR="009129F9" w:rsidRPr="009129F9">
              <w:rPr>
                <w:rFonts w:ascii="Times New Roman" w:hAnsi="Times New Roman"/>
                <w:sz w:val="24"/>
                <w:szCs w:val="24"/>
              </w:rPr>
              <w:t>13.</w:t>
            </w:r>
          </w:p>
        </w:tc>
        <w:tc>
          <w:tcPr>
            <w:tcW w:w="5080" w:type="dxa"/>
          </w:tcPr>
          <w:p w14:paraId="48A5BB6E" w14:textId="4E077D12" w:rsidR="009129F9" w:rsidRPr="009129F9" w:rsidRDefault="005D3C13" w:rsidP="009129F9">
            <w:pPr>
              <w:widowControl w:val="0"/>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Application for transfer of less than 51% equity shareholding/ stake (Refer No. 3)</w:t>
            </w:r>
            <w:r>
              <w:rPr>
                <w:rFonts w:ascii="Times New Roman" w:hAnsi="Times New Roman"/>
                <w:spacing w:val="-1"/>
                <w:sz w:val="24"/>
                <w:szCs w:val="24"/>
              </w:rPr>
              <w:t xml:space="preserve">] </w:t>
            </w:r>
          </w:p>
        </w:tc>
        <w:tc>
          <w:tcPr>
            <w:tcW w:w="2696" w:type="dxa"/>
          </w:tcPr>
          <w:p w14:paraId="1914519E" w14:textId="2EBFB178" w:rsidR="009129F9" w:rsidRDefault="005D3C13" w:rsidP="009129F9">
            <w:pPr>
              <w:widowControl w:val="0"/>
              <w:autoSpaceDE w:val="0"/>
              <w:autoSpaceDN w:val="0"/>
              <w:adjustRightInd w:val="0"/>
              <w:spacing w:after="0" w:line="360" w:lineRule="auto"/>
              <w:jc w:val="center"/>
              <w:rPr>
                <w:rFonts w:ascii="Times New Roman" w:hAnsi="Times New Roman"/>
                <w:spacing w:val="1"/>
                <w:sz w:val="24"/>
                <w:szCs w:val="24"/>
              </w:rPr>
            </w:pPr>
            <w:r w:rsidRPr="005D3C13">
              <w:rPr>
                <w:rFonts w:ascii="Times New Roman" w:hAnsi="Times New Roman"/>
                <w:spacing w:val="1"/>
                <w:sz w:val="24"/>
                <w:szCs w:val="24"/>
              </w:rPr>
              <w:t>10,00,000 per GA / Pipeline</w:t>
            </w:r>
          </w:p>
        </w:tc>
      </w:tr>
      <w:tr w:rsidR="00146D0F" w14:paraId="3439063C" w14:textId="77777777" w:rsidTr="002737A5">
        <w:trPr>
          <w:trHeight w:val="820"/>
        </w:trPr>
        <w:tc>
          <w:tcPr>
            <w:tcW w:w="9016" w:type="dxa"/>
            <w:gridSpan w:val="3"/>
          </w:tcPr>
          <w:p w14:paraId="0BD2C066" w14:textId="44C9D737" w:rsidR="00146D0F" w:rsidRPr="005A5FA4" w:rsidRDefault="005D3C13" w:rsidP="005A5FA4">
            <w:pPr>
              <w:widowControl w:val="0"/>
              <w:autoSpaceDE w:val="0"/>
              <w:autoSpaceDN w:val="0"/>
              <w:adjustRightInd w:val="0"/>
              <w:spacing w:after="0" w:line="360" w:lineRule="auto"/>
              <w:jc w:val="both"/>
              <w:rPr>
                <w:rFonts w:ascii="Times New Roman" w:hAnsi="Times New Roman"/>
                <w:b/>
                <w:bCs/>
                <w:spacing w:val="-1"/>
                <w:sz w:val="24"/>
                <w:szCs w:val="24"/>
              </w:rPr>
            </w:pPr>
            <w:r>
              <w:rPr>
                <w:rStyle w:val="FootnoteReference"/>
                <w:rFonts w:ascii="Times New Roman" w:hAnsi="Times New Roman"/>
                <w:b/>
                <w:bCs/>
                <w:spacing w:val="-1"/>
                <w:sz w:val="24"/>
                <w:szCs w:val="24"/>
              </w:rPr>
              <w:footnoteReference w:id="12"/>
            </w:r>
            <w:r>
              <w:rPr>
                <w:rFonts w:ascii="Times New Roman" w:hAnsi="Times New Roman"/>
                <w:b/>
                <w:bCs/>
                <w:spacing w:val="-1"/>
                <w:sz w:val="24"/>
                <w:szCs w:val="24"/>
              </w:rPr>
              <w:t>[</w:t>
            </w:r>
            <w:r w:rsidR="00146D0F" w:rsidRPr="005A5FA4">
              <w:rPr>
                <w:rFonts w:ascii="Times New Roman" w:hAnsi="Times New Roman"/>
                <w:b/>
                <w:bCs/>
                <w:spacing w:val="-1"/>
                <w:sz w:val="24"/>
                <w:szCs w:val="24"/>
              </w:rPr>
              <w:t xml:space="preserve">Note: </w:t>
            </w:r>
          </w:p>
          <w:p w14:paraId="483B0FE0" w14:textId="77777777" w:rsidR="005D3C13" w:rsidRDefault="005D3C13" w:rsidP="005A5FA4">
            <w:pPr>
              <w:pStyle w:val="ListParagraph"/>
              <w:widowControl w:val="0"/>
              <w:numPr>
                <w:ilvl w:val="0"/>
                <w:numId w:val="20"/>
              </w:numPr>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Applications for S. No. 12 and 13 shall be submitted as per provisions of PNGRB (Authorizing Entities to Lay, Build, Operate or Expand City or Local Natural Gas Distribution Networks) Regulations 2008; PNGRB (Authorizing Entities to Lay, Build, Operate or Expand Natural Gas Pipelines) Regulations, 2008; PNGRB (Authorizing Entities to Lay, Build, Operate or Expand Petroleum and Petroleum Products Pipelines) Regulations, 2010, as applicable.</w:t>
            </w:r>
          </w:p>
          <w:p w14:paraId="71D73B92" w14:textId="77777777" w:rsidR="005D3C13" w:rsidRPr="005D3C13" w:rsidRDefault="005D3C13" w:rsidP="005D3C13">
            <w:pPr>
              <w:pStyle w:val="ListParagraph"/>
              <w:widowControl w:val="0"/>
              <w:autoSpaceDE w:val="0"/>
              <w:autoSpaceDN w:val="0"/>
              <w:adjustRightInd w:val="0"/>
              <w:spacing w:after="0" w:line="360" w:lineRule="auto"/>
              <w:ind w:left="1080"/>
              <w:jc w:val="both"/>
              <w:rPr>
                <w:rFonts w:ascii="Times New Roman" w:hAnsi="Times New Roman"/>
                <w:spacing w:val="-1"/>
                <w:sz w:val="4"/>
                <w:szCs w:val="4"/>
              </w:rPr>
            </w:pPr>
          </w:p>
          <w:p w14:paraId="1BBEEC72" w14:textId="77777777" w:rsidR="005D3C13" w:rsidRDefault="005D3C13" w:rsidP="005A5FA4">
            <w:pPr>
              <w:pStyle w:val="ListParagraph"/>
              <w:widowControl w:val="0"/>
              <w:numPr>
                <w:ilvl w:val="0"/>
                <w:numId w:val="20"/>
              </w:numPr>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Where an entity submits a single application for multiple GAs or pipelines, under one of the categories prescribed</w:t>
            </w:r>
            <w:r>
              <w:rPr>
                <w:rFonts w:ascii="Times New Roman" w:hAnsi="Times New Roman"/>
                <w:spacing w:val="-1"/>
                <w:sz w:val="24"/>
                <w:szCs w:val="24"/>
              </w:rPr>
              <w:t xml:space="preserve"> </w:t>
            </w:r>
            <w:r w:rsidRPr="005D3C13">
              <w:rPr>
                <w:rFonts w:ascii="Times New Roman" w:hAnsi="Times New Roman"/>
                <w:spacing w:val="-1"/>
                <w:sz w:val="24"/>
                <w:szCs w:val="24"/>
              </w:rPr>
              <w:t xml:space="preserve">at S.12, then Rs. 20,00,000 for the first GA or pipeline plus additional amount of 25% per each subsequent GA or pipeline. </w:t>
            </w:r>
          </w:p>
          <w:p w14:paraId="0681A0C4" w14:textId="77777777" w:rsidR="005D3C13" w:rsidRPr="00AF621A" w:rsidRDefault="005D3C13" w:rsidP="005D3C13">
            <w:pPr>
              <w:pStyle w:val="ListParagraph"/>
              <w:rPr>
                <w:rFonts w:ascii="Times New Roman" w:hAnsi="Times New Roman"/>
                <w:spacing w:val="-1"/>
                <w:sz w:val="2"/>
                <w:szCs w:val="2"/>
              </w:rPr>
            </w:pPr>
          </w:p>
          <w:p w14:paraId="0D0A1436" w14:textId="77777777" w:rsidR="005D3C13" w:rsidRDefault="005D3C13" w:rsidP="005A5FA4">
            <w:pPr>
              <w:pStyle w:val="ListParagraph"/>
              <w:widowControl w:val="0"/>
              <w:numPr>
                <w:ilvl w:val="0"/>
                <w:numId w:val="20"/>
              </w:numPr>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 xml:space="preserve">Where an entity submits a single application for transfer of less than 51% equity shareholding/stake as mentioned at S.13, then Rs. 10,00,000 for the first GA or pipeline plus additional amount of 25% per each subsequent GA or pipeline. </w:t>
            </w:r>
          </w:p>
          <w:p w14:paraId="56B60EF1" w14:textId="77777777" w:rsidR="005D3C13" w:rsidRPr="00AF621A" w:rsidRDefault="005D3C13" w:rsidP="005D3C13">
            <w:pPr>
              <w:pStyle w:val="ListParagraph"/>
              <w:rPr>
                <w:rFonts w:ascii="Times New Roman" w:hAnsi="Times New Roman"/>
                <w:spacing w:val="-1"/>
                <w:sz w:val="2"/>
                <w:szCs w:val="2"/>
              </w:rPr>
            </w:pPr>
          </w:p>
          <w:p w14:paraId="0E462653" w14:textId="6E516CDA" w:rsidR="00146D0F" w:rsidRPr="005A5FA4" w:rsidRDefault="005D3C13" w:rsidP="005A5FA4">
            <w:pPr>
              <w:pStyle w:val="ListParagraph"/>
              <w:widowControl w:val="0"/>
              <w:numPr>
                <w:ilvl w:val="0"/>
                <w:numId w:val="20"/>
              </w:numPr>
              <w:autoSpaceDE w:val="0"/>
              <w:autoSpaceDN w:val="0"/>
              <w:adjustRightInd w:val="0"/>
              <w:spacing w:after="0" w:line="360" w:lineRule="auto"/>
              <w:jc w:val="both"/>
              <w:rPr>
                <w:rFonts w:ascii="Times New Roman" w:hAnsi="Times New Roman"/>
                <w:spacing w:val="-1"/>
                <w:sz w:val="24"/>
                <w:szCs w:val="24"/>
              </w:rPr>
            </w:pPr>
            <w:r w:rsidRPr="005D3C13">
              <w:rPr>
                <w:rFonts w:ascii="Times New Roman" w:hAnsi="Times New Roman"/>
                <w:spacing w:val="-1"/>
                <w:sz w:val="24"/>
                <w:szCs w:val="24"/>
              </w:rPr>
              <w:t xml:space="preserve">In case of conversion of a private limited company to a public limited company or </w:t>
            </w:r>
            <w:r w:rsidRPr="005D3C13">
              <w:rPr>
                <w:rFonts w:ascii="Times New Roman" w:hAnsi="Times New Roman"/>
                <w:spacing w:val="-1"/>
                <w:sz w:val="24"/>
                <w:szCs w:val="24"/>
              </w:rPr>
              <w:lastRenderedPageBreak/>
              <w:t>vice versa, as well as for any change in shareholding required under the Companies Act or any other statutory requirement – Rs. 10,00,000 per instance</w:t>
            </w:r>
            <w:r>
              <w:rPr>
                <w:rFonts w:ascii="Times New Roman" w:hAnsi="Times New Roman"/>
                <w:spacing w:val="-1"/>
                <w:sz w:val="24"/>
                <w:szCs w:val="24"/>
              </w:rPr>
              <w:t>.]</w:t>
            </w:r>
          </w:p>
        </w:tc>
      </w:tr>
    </w:tbl>
    <w:p w14:paraId="7558DA78" w14:textId="77777777" w:rsidR="00DE6176" w:rsidRPr="00BB1015" w:rsidRDefault="00DE6176" w:rsidP="00DE6176">
      <w:pPr>
        <w:pStyle w:val="ListParagraph"/>
        <w:numPr>
          <w:ilvl w:val="0"/>
          <w:numId w:val="15"/>
        </w:numPr>
        <w:spacing w:before="240" w:after="0" w:line="240" w:lineRule="auto"/>
        <w:jc w:val="both"/>
        <w:rPr>
          <w:rFonts w:ascii="Times New Roman" w:hAnsi="Times New Roman"/>
          <w:sz w:val="24"/>
          <w:szCs w:val="24"/>
        </w:rPr>
      </w:pPr>
      <w:r w:rsidRPr="00BB1015">
        <w:rPr>
          <w:rFonts w:ascii="Times New Roman" w:hAnsi="Times New Roman"/>
          <w:sz w:val="24"/>
          <w:szCs w:val="24"/>
        </w:rPr>
        <w:lastRenderedPageBreak/>
        <w:t>The fee shall be paid through demand draft or pay order in favour of the Petroleum and Natural Gas Regulatory Board payable at New Delhi;</w:t>
      </w:r>
    </w:p>
    <w:p w14:paraId="653A995F" w14:textId="0190FDC2" w:rsidR="00251889" w:rsidRPr="00AF621A" w:rsidRDefault="00DE6176" w:rsidP="005A5FA4">
      <w:pPr>
        <w:pStyle w:val="ListParagraph"/>
        <w:numPr>
          <w:ilvl w:val="0"/>
          <w:numId w:val="15"/>
        </w:numPr>
        <w:spacing w:before="240" w:after="0" w:line="240" w:lineRule="auto"/>
        <w:jc w:val="both"/>
        <w:rPr>
          <w:rFonts w:ascii="Times New Roman" w:hAnsi="Times New Roman"/>
          <w:sz w:val="24"/>
          <w:szCs w:val="24"/>
        </w:rPr>
      </w:pPr>
      <w:r w:rsidRPr="005A5FA4">
        <w:rPr>
          <w:rFonts w:ascii="Times New Roman" w:hAnsi="Times New Roman"/>
          <w:sz w:val="24"/>
          <w:szCs w:val="24"/>
        </w:rPr>
        <w:t>The fee received shall be entered into a register to be maintained by the Board with details such as name of the entity or complainant remitting the payment, purpose of remittance, amount, number and date of demand draft or pay order as the case may be.</w:t>
      </w:r>
    </w:p>
    <w:p w14:paraId="70CB3833"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r>
        <w:rPr>
          <w:rStyle w:val="FootnoteReference"/>
          <w:rFonts w:ascii="Times New Roman" w:hAnsi="Times New Roman"/>
          <w:b/>
          <w:bCs/>
          <w:spacing w:val="1"/>
          <w:sz w:val="24"/>
          <w:szCs w:val="24"/>
        </w:rPr>
        <w:footnoteReference w:id="13"/>
      </w:r>
      <w:r>
        <w:rPr>
          <w:rFonts w:ascii="Times New Roman" w:hAnsi="Times New Roman"/>
          <w:b/>
          <w:bCs/>
          <w:spacing w:val="1"/>
          <w:sz w:val="24"/>
          <w:szCs w:val="24"/>
        </w:rPr>
        <w:t>[</w:t>
      </w:r>
      <w:r w:rsidRPr="00386321">
        <w:rPr>
          <w:rFonts w:ascii="Times New Roman" w:hAnsi="Times New Roman"/>
          <w:b/>
          <w:bCs/>
          <w:spacing w:val="1"/>
          <w:sz w:val="24"/>
          <w:szCs w:val="24"/>
        </w:rPr>
        <w:t xml:space="preserve">4. Levy of other </w:t>
      </w:r>
      <w:proofErr w:type="gramStart"/>
      <w:r w:rsidRPr="00386321">
        <w:rPr>
          <w:rFonts w:ascii="Times New Roman" w:hAnsi="Times New Roman"/>
          <w:b/>
          <w:bCs/>
          <w:spacing w:val="1"/>
          <w:sz w:val="24"/>
          <w:szCs w:val="24"/>
        </w:rPr>
        <w:t>charges.---</w:t>
      </w:r>
      <w:proofErr w:type="gramEnd"/>
    </w:p>
    <w:p w14:paraId="3F37E20E" w14:textId="77777777" w:rsidR="00DE6176"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Pr>
          <w:rFonts w:ascii="Times New Roman" w:hAnsi="Times New Roman"/>
          <w:spacing w:val="1"/>
          <w:sz w:val="24"/>
          <w:szCs w:val="24"/>
        </w:rPr>
        <w:t xml:space="preserve">Any entity engaged in laying, building, operating or expanding natural gas pipeline or petroleum or petroleum product pipeline of any nature or city or local natural gas distribution network shall annually pay to the Board other charges in respect of </w:t>
      </w:r>
      <w:proofErr w:type="gramStart"/>
      <w:r>
        <w:rPr>
          <w:rFonts w:ascii="Times New Roman" w:hAnsi="Times New Roman"/>
          <w:spacing w:val="1"/>
          <w:sz w:val="24"/>
          <w:szCs w:val="24"/>
        </w:rPr>
        <w:t>each  such</w:t>
      </w:r>
      <w:proofErr w:type="gramEnd"/>
      <w:r>
        <w:rPr>
          <w:rFonts w:ascii="Times New Roman" w:hAnsi="Times New Roman"/>
          <w:spacing w:val="1"/>
          <w:sz w:val="24"/>
          <w:szCs w:val="24"/>
        </w:rPr>
        <w:t xml:space="preserve"> pipeline or network for each financial year as specified in sub-regulation (2).</w:t>
      </w:r>
    </w:p>
    <w:p w14:paraId="5DE811B8" w14:textId="77777777" w:rsidR="00DE6176" w:rsidRPr="00106FEC"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sidRPr="00106FEC">
        <w:rPr>
          <w:rFonts w:ascii="Times New Roman" w:hAnsi="Times New Roman"/>
          <w:spacing w:val="1"/>
          <w:sz w:val="24"/>
          <w:szCs w:val="24"/>
        </w:rPr>
        <w:t xml:space="preserve">Other charges payable annually in accordance with sub-regulation (1) shall be paid at rates specified below with effect from the first April, 2019, </w:t>
      </w:r>
      <w:proofErr w:type="gramStart"/>
      <w:r w:rsidRPr="00106FEC">
        <w:rPr>
          <w:rFonts w:ascii="Times New Roman" w:hAnsi="Times New Roman"/>
          <w:spacing w:val="1"/>
          <w:sz w:val="24"/>
          <w:szCs w:val="24"/>
        </w:rPr>
        <w:t>namely:-</w:t>
      </w:r>
      <w:proofErr w:type="gramEnd"/>
    </w:p>
    <w:p w14:paraId="2AFCA97F"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p>
    <w:p w14:paraId="39FF24F6" w14:textId="77777777" w:rsidR="00DE6176" w:rsidRDefault="00DE6176" w:rsidP="00DE6176">
      <w:pPr>
        <w:pStyle w:val="ListParagraph"/>
        <w:widowControl w:val="0"/>
        <w:numPr>
          <w:ilvl w:val="0"/>
          <w:numId w:val="13"/>
        </w:numPr>
        <w:autoSpaceDE w:val="0"/>
        <w:autoSpaceDN w:val="0"/>
        <w:adjustRightInd w:val="0"/>
        <w:spacing w:after="0" w:line="360" w:lineRule="auto"/>
        <w:ind w:right="-261"/>
        <w:contextualSpacing/>
        <w:jc w:val="both"/>
        <w:rPr>
          <w:rFonts w:ascii="Times New Roman" w:hAnsi="Times New Roman"/>
          <w:b/>
          <w:bCs/>
          <w:spacing w:val="1"/>
          <w:sz w:val="24"/>
          <w:szCs w:val="24"/>
        </w:rPr>
      </w:pPr>
      <w:r w:rsidRPr="00386321">
        <w:rPr>
          <w:rFonts w:ascii="Times New Roman" w:hAnsi="Times New Roman"/>
          <w:b/>
          <w:bCs/>
          <w:spacing w:val="1"/>
          <w:sz w:val="24"/>
          <w:szCs w:val="24"/>
        </w:rPr>
        <w:t xml:space="preserve">For each City or local natural gas distribution </w:t>
      </w:r>
      <w:proofErr w:type="gramStart"/>
      <w:r w:rsidRPr="00386321">
        <w:rPr>
          <w:rFonts w:ascii="Times New Roman" w:hAnsi="Times New Roman"/>
          <w:b/>
          <w:bCs/>
          <w:spacing w:val="1"/>
          <w:sz w:val="24"/>
          <w:szCs w:val="24"/>
        </w:rPr>
        <w:t>network:-</w:t>
      </w:r>
      <w:proofErr w:type="gramEnd"/>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3118"/>
      </w:tblGrid>
      <w:tr w:rsidR="00DE6176" w14:paraId="3A4DE547" w14:textId="77777777" w:rsidTr="00256B0A">
        <w:tc>
          <w:tcPr>
            <w:tcW w:w="3397" w:type="dxa"/>
          </w:tcPr>
          <w:p w14:paraId="0C39B136" w14:textId="77777777" w:rsidR="00DE6176" w:rsidRPr="00DC6C95" w:rsidRDefault="00DE6176" w:rsidP="00256B0A">
            <w:pPr>
              <w:pStyle w:val="ListParagraph"/>
              <w:widowControl w:val="0"/>
              <w:autoSpaceDE w:val="0"/>
              <w:autoSpaceDN w:val="0"/>
              <w:adjustRightInd w:val="0"/>
              <w:spacing w:line="360" w:lineRule="auto"/>
              <w:ind w:left="0" w:right="183"/>
              <w:jc w:val="both"/>
              <w:rPr>
                <w:rFonts w:ascii="Times New Roman" w:hAnsi="Times New Roman"/>
                <w:b/>
                <w:bCs/>
                <w:spacing w:val="1"/>
                <w:sz w:val="24"/>
                <w:szCs w:val="24"/>
              </w:rPr>
            </w:pPr>
            <w:r w:rsidRPr="00DC6C95">
              <w:rPr>
                <w:rFonts w:ascii="Times New Roman" w:hAnsi="Times New Roman"/>
                <w:b/>
                <w:bCs/>
                <w:spacing w:val="1"/>
                <w:sz w:val="24"/>
                <w:szCs w:val="24"/>
              </w:rPr>
              <w:t>Population of the Geographical Areas as per 2011 Census of India</w:t>
            </w:r>
          </w:p>
        </w:tc>
        <w:tc>
          <w:tcPr>
            <w:tcW w:w="3402" w:type="dxa"/>
          </w:tcPr>
          <w:p w14:paraId="1C500ECE" w14:textId="77777777" w:rsidR="00DE6176" w:rsidRPr="00DC6C95" w:rsidRDefault="00DE6176" w:rsidP="00256B0A">
            <w:pPr>
              <w:pStyle w:val="ListParagraph"/>
              <w:widowControl w:val="0"/>
              <w:autoSpaceDE w:val="0"/>
              <w:autoSpaceDN w:val="0"/>
              <w:adjustRightInd w:val="0"/>
              <w:spacing w:line="360" w:lineRule="auto"/>
              <w:ind w:left="0" w:right="27"/>
              <w:jc w:val="both"/>
              <w:rPr>
                <w:rFonts w:ascii="Times New Roman" w:hAnsi="Times New Roman"/>
                <w:b/>
                <w:bCs/>
                <w:spacing w:val="1"/>
                <w:sz w:val="24"/>
                <w:szCs w:val="24"/>
              </w:rPr>
            </w:pPr>
            <w:r w:rsidRPr="00DC6C95">
              <w:rPr>
                <w:rFonts w:ascii="Times New Roman" w:hAnsi="Times New Roman"/>
                <w:b/>
                <w:bCs/>
                <w:spacing w:val="1"/>
                <w:sz w:val="24"/>
                <w:szCs w:val="24"/>
              </w:rPr>
              <w:t>From the second financial year to the fifth financial year, starting from the financial year in which authori</w:t>
            </w:r>
            <w:r>
              <w:rPr>
                <w:rFonts w:ascii="Times New Roman" w:hAnsi="Times New Roman"/>
                <w:b/>
                <w:bCs/>
                <w:spacing w:val="1"/>
                <w:sz w:val="24"/>
                <w:szCs w:val="24"/>
              </w:rPr>
              <w:t>s</w:t>
            </w:r>
            <w:r w:rsidRPr="00DC6C95">
              <w:rPr>
                <w:rFonts w:ascii="Times New Roman" w:hAnsi="Times New Roman"/>
                <w:b/>
                <w:bCs/>
                <w:spacing w:val="1"/>
                <w:sz w:val="24"/>
                <w:szCs w:val="24"/>
              </w:rPr>
              <w:t>ation was granted or accepted by Board</w:t>
            </w:r>
          </w:p>
        </w:tc>
        <w:tc>
          <w:tcPr>
            <w:tcW w:w="3118" w:type="dxa"/>
          </w:tcPr>
          <w:p w14:paraId="4654B26D"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t xml:space="preserve">From the sixth financial year, starting from the financial year in which authorisation was granted or accepted by Board, and onwards </w:t>
            </w:r>
          </w:p>
        </w:tc>
      </w:tr>
      <w:tr w:rsidR="00DE6176" w14:paraId="09A3CF71" w14:textId="77777777" w:rsidTr="00256B0A">
        <w:tc>
          <w:tcPr>
            <w:tcW w:w="3397" w:type="dxa"/>
          </w:tcPr>
          <w:p w14:paraId="59619AED" w14:textId="77777777" w:rsidR="00DE6176" w:rsidRPr="00DC6C95" w:rsidRDefault="00DE6176" w:rsidP="00256B0A">
            <w:pPr>
              <w:pStyle w:val="ListParagraph"/>
              <w:widowControl w:val="0"/>
              <w:autoSpaceDE w:val="0"/>
              <w:autoSpaceDN w:val="0"/>
              <w:adjustRightInd w:val="0"/>
              <w:spacing w:after="0" w:line="360" w:lineRule="auto"/>
              <w:ind w:left="0" w:right="183"/>
              <w:jc w:val="center"/>
              <w:rPr>
                <w:rFonts w:ascii="Times New Roman" w:hAnsi="Times New Roman"/>
                <w:b/>
                <w:bCs/>
                <w:spacing w:val="1"/>
                <w:sz w:val="24"/>
                <w:szCs w:val="24"/>
              </w:rPr>
            </w:pPr>
            <w:r w:rsidRPr="00DC6C95">
              <w:rPr>
                <w:rFonts w:ascii="Times New Roman" w:hAnsi="Times New Roman"/>
                <w:b/>
                <w:bCs/>
                <w:spacing w:val="1"/>
                <w:sz w:val="24"/>
                <w:szCs w:val="24"/>
              </w:rPr>
              <w:t>(1)</w:t>
            </w:r>
          </w:p>
        </w:tc>
        <w:tc>
          <w:tcPr>
            <w:tcW w:w="3402" w:type="dxa"/>
          </w:tcPr>
          <w:p w14:paraId="1081508A"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b/>
                <w:bCs/>
                <w:spacing w:val="1"/>
                <w:sz w:val="24"/>
                <w:szCs w:val="24"/>
              </w:rPr>
            </w:pPr>
            <w:r w:rsidRPr="00DC6C95">
              <w:rPr>
                <w:rFonts w:ascii="Times New Roman" w:hAnsi="Times New Roman"/>
                <w:b/>
                <w:bCs/>
                <w:spacing w:val="1"/>
                <w:sz w:val="24"/>
                <w:szCs w:val="24"/>
              </w:rPr>
              <w:t>(2)</w:t>
            </w:r>
          </w:p>
        </w:tc>
        <w:tc>
          <w:tcPr>
            <w:tcW w:w="3118" w:type="dxa"/>
          </w:tcPr>
          <w:p w14:paraId="4BFB7AD3"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b/>
                <w:bCs/>
                <w:spacing w:val="1"/>
                <w:sz w:val="24"/>
                <w:szCs w:val="24"/>
              </w:rPr>
            </w:pPr>
            <w:r w:rsidRPr="00DC6C95">
              <w:rPr>
                <w:rFonts w:ascii="Times New Roman" w:hAnsi="Times New Roman"/>
                <w:b/>
                <w:bCs/>
                <w:spacing w:val="1"/>
                <w:sz w:val="24"/>
                <w:szCs w:val="24"/>
              </w:rPr>
              <w:t>(3)</w:t>
            </w:r>
          </w:p>
        </w:tc>
      </w:tr>
      <w:tr w:rsidR="00DE6176" w14:paraId="79BFB7C9" w14:textId="77777777" w:rsidTr="00256B0A">
        <w:tc>
          <w:tcPr>
            <w:tcW w:w="3397" w:type="dxa"/>
          </w:tcPr>
          <w:p w14:paraId="6C59CCE8"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Less than 1 million</w:t>
            </w:r>
          </w:p>
        </w:tc>
        <w:tc>
          <w:tcPr>
            <w:tcW w:w="3402" w:type="dxa"/>
          </w:tcPr>
          <w:p w14:paraId="4C16DC96"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24194D85"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5,00,000</w:t>
            </w:r>
          </w:p>
        </w:tc>
      </w:tr>
      <w:tr w:rsidR="00DE6176" w14:paraId="5755591F" w14:textId="77777777" w:rsidTr="00256B0A">
        <w:tc>
          <w:tcPr>
            <w:tcW w:w="3397" w:type="dxa"/>
          </w:tcPr>
          <w:p w14:paraId="4AFA9D5E"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 million or more but less than 5 million</w:t>
            </w:r>
          </w:p>
        </w:tc>
        <w:tc>
          <w:tcPr>
            <w:tcW w:w="3402" w:type="dxa"/>
          </w:tcPr>
          <w:p w14:paraId="0B74090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7D8AF7E7"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10,00,000</w:t>
            </w:r>
          </w:p>
        </w:tc>
      </w:tr>
      <w:tr w:rsidR="00DE6176" w14:paraId="6289E894" w14:textId="77777777" w:rsidTr="00256B0A">
        <w:tc>
          <w:tcPr>
            <w:tcW w:w="3397" w:type="dxa"/>
          </w:tcPr>
          <w:p w14:paraId="0048CC0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5 million or more but less than 10 million</w:t>
            </w:r>
          </w:p>
        </w:tc>
        <w:tc>
          <w:tcPr>
            <w:tcW w:w="3402" w:type="dxa"/>
          </w:tcPr>
          <w:p w14:paraId="03C7491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0F4B9B1A"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25,00,000</w:t>
            </w:r>
          </w:p>
        </w:tc>
      </w:tr>
      <w:tr w:rsidR="00DE6176" w14:paraId="2DCC0A6D" w14:textId="77777777" w:rsidTr="00256B0A">
        <w:tc>
          <w:tcPr>
            <w:tcW w:w="3397" w:type="dxa"/>
          </w:tcPr>
          <w:p w14:paraId="5FAC6F4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10 million or more</w:t>
            </w:r>
          </w:p>
        </w:tc>
        <w:tc>
          <w:tcPr>
            <w:tcW w:w="3402" w:type="dxa"/>
          </w:tcPr>
          <w:p w14:paraId="7535384D"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15BDCF72"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50,00,000</w:t>
            </w:r>
          </w:p>
        </w:tc>
      </w:tr>
    </w:tbl>
    <w:p w14:paraId="07B8D26A" w14:textId="77777777" w:rsidR="00DE6176"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spacing w:val="1"/>
          <w:sz w:val="24"/>
          <w:szCs w:val="24"/>
        </w:rPr>
      </w:pPr>
    </w:p>
    <w:p w14:paraId="586CE5AD" w14:textId="77777777" w:rsidR="00DE6176" w:rsidRPr="00386321"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b/>
          <w:bCs/>
          <w:spacing w:val="1"/>
          <w:sz w:val="24"/>
          <w:szCs w:val="24"/>
        </w:rPr>
      </w:pPr>
      <w:r w:rsidRPr="00386321">
        <w:rPr>
          <w:rFonts w:ascii="Times New Roman" w:hAnsi="Times New Roman"/>
          <w:b/>
          <w:bCs/>
          <w:spacing w:val="1"/>
          <w:sz w:val="24"/>
          <w:szCs w:val="24"/>
        </w:rPr>
        <w:t>(</w:t>
      </w:r>
      <w:r>
        <w:rPr>
          <w:rFonts w:ascii="Times New Roman" w:hAnsi="Times New Roman"/>
          <w:b/>
          <w:bCs/>
          <w:spacing w:val="1"/>
          <w:sz w:val="24"/>
          <w:szCs w:val="24"/>
        </w:rPr>
        <w:t>B</w:t>
      </w:r>
      <w:r w:rsidRPr="00386321">
        <w:rPr>
          <w:rFonts w:ascii="Times New Roman" w:hAnsi="Times New Roman"/>
          <w:b/>
          <w:bCs/>
          <w:spacing w:val="1"/>
          <w:sz w:val="24"/>
          <w:szCs w:val="24"/>
        </w:rPr>
        <w:t xml:space="preserve">) For each </w:t>
      </w:r>
      <w:r>
        <w:rPr>
          <w:rFonts w:ascii="Times New Roman" w:hAnsi="Times New Roman"/>
          <w:b/>
          <w:bCs/>
          <w:spacing w:val="1"/>
          <w:sz w:val="24"/>
          <w:szCs w:val="24"/>
        </w:rPr>
        <w:t xml:space="preserve">Natural gas pipeline or petroleum product pipeline of any </w:t>
      </w:r>
      <w:proofErr w:type="gramStart"/>
      <w:r>
        <w:rPr>
          <w:rFonts w:ascii="Times New Roman" w:hAnsi="Times New Roman"/>
          <w:b/>
          <w:bCs/>
          <w:spacing w:val="1"/>
          <w:sz w:val="24"/>
          <w:szCs w:val="24"/>
        </w:rPr>
        <w:t>nature</w:t>
      </w:r>
      <w:r w:rsidRPr="00386321">
        <w:rPr>
          <w:rFonts w:ascii="Times New Roman" w:hAnsi="Times New Roman"/>
          <w:b/>
          <w:bCs/>
          <w:spacing w:val="1"/>
          <w:sz w:val="24"/>
          <w:szCs w:val="24"/>
        </w:rPr>
        <w:t>:-</w:t>
      </w:r>
      <w:proofErr w:type="gramEnd"/>
      <w:r>
        <w:rPr>
          <w:rFonts w:ascii="Times New Roman" w:hAnsi="Times New Roman"/>
          <w:b/>
          <w:bCs/>
          <w:spacing w:val="1"/>
          <w:sz w:val="24"/>
          <w:szCs w:val="24"/>
        </w:rPr>
        <w:tab/>
      </w:r>
      <w:r>
        <w:rPr>
          <w:rFonts w:ascii="Times New Roman" w:hAnsi="Times New Roman"/>
          <w:b/>
          <w:bCs/>
          <w:spacing w:val="1"/>
          <w:sz w:val="24"/>
          <w:szCs w:val="24"/>
        </w:rPr>
        <w:tab/>
      </w:r>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7"/>
      </w:tblGrid>
      <w:tr w:rsidR="00DE6176" w14:paraId="6A98E56C" w14:textId="77777777" w:rsidTr="00256B0A">
        <w:tc>
          <w:tcPr>
            <w:tcW w:w="9917" w:type="dxa"/>
            <w:gridSpan w:val="2"/>
          </w:tcPr>
          <w:p w14:paraId="64B40E63"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lastRenderedPageBreak/>
              <w:t>(a) Before commencement of operations:</w:t>
            </w:r>
          </w:p>
        </w:tc>
      </w:tr>
      <w:tr w:rsidR="00DE6176" w14:paraId="56A4A73C" w14:textId="77777777" w:rsidTr="00256B0A">
        <w:trPr>
          <w:trHeight w:val="838"/>
        </w:trPr>
        <w:tc>
          <w:tcPr>
            <w:tcW w:w="5240" w:type="dxa"/>
          </w:tcPr>
          <w:p w14:paraId="06A64AF0"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34957F7A"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66483E30"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r w:rsidRPr="00DC6C95">
              <w:rPr>
                <w:rFonts w:ascii="Times New Roman" w:hAnsi="Times New Roman"/>
                <w:bCs/>
                <w:spacing w:val="1"/>
                <w:sz w:val="24"/>
                <w:szCs w:val="24"/>
              </w:rPr>
              <w:t>Rs. 5,00,000 for each pipeline</w:t>
            </w:r>
          </w:p>
          <w:p w14:paraId="7C86B397" w14:textId="77777777" w:rsidR="00DE6176" w:rsidRPr="00DC6C95" w:rsidRDefault="00DE6176" w:rsidP="00256B0A">
            <w:pPr>
              <w:pStyle w:val="ListParagraph"/>
              <w:widowControl w:val="0"/>
              <w:autoSpaceDE w:val="0"/>
              <w:autoSpaceDN w:val="0"/>
              <w:adjustRightInd w:val="0"/>
              <w:spacing w:after="0" w:line="360" w:lineRule="auto"/>
              <w:ind w:left="0" w:right="31"/>
              <w:contextualSpacing/>
              <w:rPr>
                <w:rFonts w:ascii="Times New Roman" w:hAnsi="Times New Roman"/>
                <w:bCs/>
                <w:spacing w:val="1"/>
                <w:sz w:val="24"/>
                <w:szCs w:val="24"/>
              </w:rPr>
            </w:pPr>
            <w:r w:rsidRPr="00DC6C95">
              <w:rPr>
                <w:rFonts w:ascii="Times New Roman" w:hAnsi="Times New Roman"/>
                <w:bCs/>
                <w:spacing w:val="1"/>
                <w:sz w:val="24"/>
                <w:szCs w:val="24"/>
              </w:rPr>
              <w:t>Rs. 1,00,000 for each pipeline</w:t>
            </w:r>
          </w:p>
        </w:tc>
      </w:tr>
      <w:tr w:rsidR="00DE6176" w14:paraId="5E5A06DA" w14:textId="77777777" w:rsidTr="00256B0A">
        <w:tc>
          <w:tcPr>
            <w:tcW w:w="9917" w:type="dxa"/>
            <w:gridSpan w:val="2"/>
          </w:tcPr>
          <w:p w14:paraId="05B07A8C"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r w:rsidRPr="00DC6C95">
              <w:rPr>
                <w:rFonts w:ascii="Times New Roman" w:hAnsi="Times New Roman"/>
                <w:b/>
                <w:spacing w:val="1"/>
                <w:sz w:val="24"/>
                <w:szCs w:val="24"/>
              </w:rPr>
              <w:t xml:space="preserve"> After commencement of operations:</w:t>
            </w:r>
          </w:p>
        </w:tc>
      </w:tr>
      <w:tr w:rsidR="00DE6176" w14:paraId="14C775DE" w14:textId="77777777" w:rsidTr="00256B0A">
        <w:trPr>
          <w:trHeight w:val="1120"/>
        </w:trPr>
        <w:tc>
          <w:tcPr>
            <w:tcW w:w="5240" w:type="dxa"/>
          </w:tcPr>
          <w:p w14:paraId="3EC5C9AA"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44D64AE3"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C03AEEB"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45A6002"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7A2229A1"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0BA3FDD4"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2D4D56B4"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t>Rs. 5,00,000 for each pipeline or 0.02% of the revenue (excluding taxes) from that pipeline for the relevant financial year, whichever is higher.</w:t>
            </w:r>
          </w:p>
          <w:p w14:paraId="0B040312"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
          <w:p w14:paraId="33F68E8D"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t>Rs. 1,00,000 for each pipeline or 0.02% of the revenue (excluding taxes) from that pipeline for the relevant financial year, whichever is higher.</w:t>
            </w:r>
          </w:p>
        </w:tc>
      </w:tr>
      <w:tr w:rsidR="00DE6176" w14:paraId="29B61C21" w14:textId="77777777" w:rsidTr="00256B0A">
        <w:trPr>
          <w:trHeight w:val="1140"/>
        </w:trPr>
        <w:tc>
          <w:tcPr>
            <w:tcW w:w="9917" w:type="dxa"/>
            <w:gridSpan w:val="2"/>
          </w:tcPr>
          <w:p w14:paraId="4301736E"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t>Note: Other Charges in respect of Pipelines after commencement of their operation may be initially paid considering the revenue accrued (excluding taxes) during the previous financial year. Difference of amount paid and payable shall be adjusted at the time of making payment for the next financial year.</w:t>
            </w:r>
          </w:p>
        </w:tc>
      </w:tr>
    </w:tbl>
    <w:p w14:paraId="63DB17F0" w14:textId="67324E7E" w:rsidR="00DE6176" w:rsidRDefault="00DE6176" w:rsidP="00DE6176">
      <w:pPr>
        <w:pStyle w:val="ListParagraph"/>
        <w:widowControl w:val="0"/>
        <w:autoSpaceDE w:val="0"/>
        <w:autoSpaceDN w:val="0"/>
        <w:adjustRightInd w:val="0"/>
        <w:spacing w:before="240" w:after="0" w:line="240" w:lineRule="auto"/>
        <w:ind w:left="1004" w:right="-46"/>
        <w:jc w:val="both"/>
        <w:rPr>
          <w:rFonts w:ascii="Times New Roman" w:hAnsi="Times New Roman"/>
          <w:spacing w:val="1"/>
          <w:sz w:val="24"/>
          <w:szCs w:val="24"/>
        </w:rPr>
      </w:pPr>
    </w:p>
    <w:p w14:paraId="4CDE29EE" w14:textId="4DD0A286" w:rsidR="000B776A" w:rsidRPr="005A5FA4" w:rsidRDefault="00DE6176" w:rsidP="000B776A">
      <w:pPr>
        <w:spacing w:after="0"/>
        <w:ind w:left="1134" w:right="34" w:hanging="567"/>
        <w:jc w:val="both"/>
        <w:rPr>
          <w:rFonts w:ascii="Times New Roman" w:hAnsi="Times New Roman"/>
          <w:sz w:val="24"/>
          <w:szCs w:val="24"/>
          <w:lang w:eastAsia="en-IN"/>
        </w:rPr>
      </w:pPr>
      <w:r>
        <w:rPr>
          <w:rStyle w:val="FootnoteReference"/>
          <w:rFonts w:ascii="Times New Roman" w:hAnsi="Times New Roman"/>
          <w:sz w:val="24"/>
          <w:szCs w:val="24"/>
        </w:rPr>
        <w:footnoteReference w:id="14"/>
      </w:r>
      <w:r>
        <w:rPr>
          <w:rFonts w:ascii="Times New Roman" w:hAnsi="Times New Roman"/>
          <w:sz w:val="24"/>
          <w:szCs w:val="24"/>
          <w:lang w:eastAsia="en-IN"/>
        </w:rPr>
        <w:t>[</w:t>
      </w:r>
      <w:r w:rsidR="000B776A" w:rsidRPr="005A5FA4">
        <w:rPr>
          <w:rFonts w:ascii="Times New Roman" w:hAnsi="Times New Roman"/>
          <w:sz w:val="24"/>
          <w:szCs w:val="24"/>
          <w:lang w:eastAsia="en-IN"/>
        </w:rPr>
        <w:t xml:space="preserve">(2A) The following annual other charges specified in the Table, shall be payable by a gas exchange with clearing corporation, a gas exchange without clearing corporation and a clearing corporation for every financial year with effect from the date of authorisation granted to it by the Board under Petroleum and Natural Gas Regulatory Board (Gas Exchange) Regulations, 2020, namely: </w:t>
      </w:r>
    </w:p>
    <w:p w14:paraId="1772AD03" w14:textId="1E2CE030" w:rsidR="00DE6176" w:rsidRPr="005A5FA4" w:rsidRDefault="00DE6176" w:rsidP="005A5FA4">
      <w:pPr>
        <w:spacing w:after="0"/>
        <w:ind w:left="1134" w:right="34" w:hanging="567"/>
        <w:jc w:val="center"/>
        <w:rPr>
          <w:rFonts w:ascii="Times New Roman" w:hAnsi="Times New Roman"/>
          <w:b/>
          <w:bCs/>
          <w:sz w:val="24"/>
          <w:szCs w:val="24"/>
        </w:rPr>
      </w:pPr>
      <w:r w:rsidRPr="005A5FA4">
        <w:rPr>
          <w:rFonts w:ascii="Times New Roman" w:hAnsi="Times New Roman"/>
          <w:b/>
          <w:bCs/>
          <w:sz w:val="24"/>
          <w:szCs w:val="24"/>
        </w:rPr>
        <w:t>T</w:t>
      </w:r>
      <w:r w:rsidR="000B776A">
        <w:rPr>
          <w:rFonts w:ascii="Times New Roman" w:hAnsi="Times New Roman"/>
          <w:b/>
          <w:bCs/>
          <w:sz w:val="24"/>
          <w:szCs w:val="24"/>
        </w:rPr>
        <w:t>ABLE</w:t>
      </w:r>
    </w:p>
    <w:tbl>
      <w:tblPr>
        <w:tblStyle w:val="TableGrid"/>
        <w:tblW w:w="8475" w:type="dxa"/>
        <w:tblInd w:w="725" w:type="dxa"/>
        <w:tblCellMar>
          <w:top w:w="14" w:type="dxa"/>
          <w:left w:w="108" w:type="dxa"/>
          <w:right w:w="48" w:type="dxa"/>
        </w:tblCellMar>
        <w:tblLook w:val="04A0" w:firstRow="1" w:lastRow="0" w:firstColumn="1" w:lastColumn="0" w:noHBand="0" w:noVBand="1"/>
      </w:tblPr>
      <w:tblGrid>
        <w:gridCol w:w="971"/>
        <w:gridCol w:w="4820"/>
        <w:gridCol w:w="2684"/>
      </w:tblGrid>
      <w:tr w:rsidR="00DE6176" w:rsidRPr="00DE6176" w14:paraId="4F4EAB9B" w14:textId="77777777" w:rsidTr="00256B0A">
        <w:trPr>
          <w:trHeight w:val="528"/>
        </w:trPr>
        <w:tc>
          <w:tcPr>
            <w:tcW w:w="971" w:type="dxa"/>
            <w:tcBorders>
              <w:top w:val="single" w:sz="4" w:space="0" w:color="000000"/>
              <w:left w:val="single" w:sz="4" w:space="0" w:color="000000"/>
              <w:bottom w:val="single" w:sz="4" w:space="0" w:color="000000"/>
              <w:right w:val="single" w:sz="4" w:space="0" w:color="000000"/>
            </w:tcBorders>
          </w:tcPr>
          <w:p w14:paraId="25640F27" w14:textId="77777777" w:rsidR="00DE6176" w:rsidRPr="00DE6176" w:rsidRDefault="00DE6176" w:rsidP="00256B0A">
            <w:pPr>
              <w:spacing w:after="0" w:line="259" w:lineRule="auto"/>
              <w:ind w:left="14"/>
              <w:rPr>
                <w:rFonts w:ascii="Times New Roman" w:hAnsi="Times New Roman"/>
                <w:sz w:val="24"/>
                <w:szCs w:val="24"/>
              </w:rPr>
            </w:pPr>
            <w:r w:rsidRPr="00DE6176">
              <w:rPr>
                <w:rFonts w:ascii="Times New Roman" w:hAnsi="Times New Roman"/>
                <w:b/>
                <w:sz w:val="24"/>
                <w:szCs w:val="24"/>
              </w:rPr>
              <w:t xml:space="preserve">Sr. No. </w:t>
            </w:r>
          </w:p>
        </w:tc>
        <w:tc>
          <w:tcPr>
            <w:tcW w:w="4820" w:type="dxa"/>
            <w:tcBorders>
              <w:top w:val="single" w:sz="4" w:space="0" w:color="000000"/>
              <w:left w:val="single" w:sz="4" w:space="0" w:color="000000"/>
              <w:bottom w:val="single" w:sz="4" w:space="0" w:color="000000"/>
              <w:right w:val="single" w:sz="4" w:space="0" w:color="000000"/>
            </w:tcBorders>
          </w:tcPr>
          <w:p w14:paraId="0AA61474"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b/>
                <w:sz w:val="24"/>
                <w:szCs w:val="24"/>
              </w:rPr>
              <w:t xml:space="preserve">Particulars </w:t>
            </w:r>
          </w:p>
        </w:tc>
        <w:tc>
          <w:tcPr>
            <w:tcW w:w="2684" w:type="dxa"/>
            <w:tcBorders>
              <w:top w:val="single" w:sz="4" w:space="0" w:color="000000"/>
              <w:left w:val="single" w:sz="4" w:space="0" w:color="000000"/>
              <w:bottom w:val="single" w:sz="4" w:space="0" w:color="000000"/>
              <w:right w:val="single" w:sz="4" w:space="0" w:color="000000"/>
            </w:tcBorders>
          </w:tcPr>
          <w:p w14:paraId="206B4BFB" w14:textId="77777777" w:rsidR="00DE6176" w:rsidRPr="00DE6176" w:rsidRDefault="00DE6176" w:rsidP="00256B0A">
            <w:pPr>
              <w:spacing w:after="0" w:line="259" w:lineRule="auto"/>
              <w:ind w:right="64"/>
              <w:jc w:val="center"/>
              <w:rPr>
                <w:rFonts w:ascii="Times New Roman" w:hAnsi="Times New Roman"/>
                <w:sz w:val="24"/>
                <w:szCs w:val="24"/>
              </w:rPr>
            </w:pPr>
            <w:r w:rsidRPr="00DE6176">
              <w:rPr>
                <w:rFonts w:ascii="Times New Roman" w:hAnsi="Times New Roman"/>
                <w:b/>
                <w:sz w:val="24"/>
                <w:szCs w:val="24"/>
              </w:rPr>
              <w:t xml:space="preserve">Amount (Rs.) </w:t>
            </w:r>
          </w:p>
        </w:tc>
      </w:tr>
      <w:tr w:rsidR="00DE6176" w:rsidRPr="00DE6176" w14:paraId="453E634E" w14:textId="77777777" w:rsidTr="00256B0A">
        <w:trPr>
          <w:trHeight w:val="665"/>
        </w:trPr>
        <w:tc>
          <w:tcPr>
            <w:tcW w:w="971" w:type="dxa"/>
            <w:vMerge w:val="restart"/>
            <w:tcBorders>
              <w:top w:val="single" w:sz="4" w:space="0" w:color="000000"/>
              <w:left w:val="single" w:sz="4" w:space="0" w:color="000000"/>
              <w:bottom w:val="single" w:sz="4" w:space="0" w:color="000000"/>
              <w:right w:val="single" w:sz="4" w:space="0" w:color="000000"/>
            </w:tcBorders>
          </w:tcPr>
          <w:p w14:paraId="181A47D5"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sz w:val="24"/>
                <w:szCs w:val="24"/>
              </w:rPr>
              <w:t xml:space="preserve">1. </w:t>
            </w:r>
          </w:p>
        </w:tc>
        <w:tc>
          <w:tcPr>
            <w:tcW w:w="7504" w:type="dxa"/>
            <w:gridSpan w:val="2"/>
            <w:tcBorders>
              <w:top w:val="single" w:sz="4" w:space="0" w:color="000000"/>
              <w:left w:val="single" w:sz="4" w:space="0" w:color="000000"/>
              <w:bottom w:val="single" w:sz="4" w:space="0" w:color="000000"/>
              <w:right w:val="single" w:sz="4" w:space="0" w:color="000000"/>
            </w:tcBorders>
          </w:tcPr>
          <w:p w14:paraId="656DED88" w14:textId="5C19538F" w:rsidR="00DE6176" w:rsidRPr="00DE6176" w:rsidRDefault="000B776A" w:rsidP="005A5FA4">
            <w:pPr>
              <w:spacing w:after="0" w:line="238" w:lineRule="auto"/>
              <w:ind w:left="8" w:right="13"/>
              <w:rPr>
                <w:rFonts w:ascii="Times New Roman" w:hAnsi="Times New Roman"/>
                <w:sz w:val="24"/>
                <w:szCs w:val="24"/>
              </w:rPr>
            </w:pPr>
            <w:r w:rsidRPr="005A5FA4">
              <w:rPr>
                <w:rFonts w:ascii="Times New Roman" w:hAnsi="Times New Roman"/>
                <w:sz w:val="24"/>
                <w:szCs w:val="24"/>
              </w:rPr>
              <w:t xml:space="preserve">Annual and other charges under regulation 13 of the Petroleum and Natural Gas Regulatory Board (Gas Exchange) Regulations, 2020: </w:t>
            </w:r>
            <w:r w:rsidR="00DE6176" w:rsidRPr="00DE6176">
              <w:rPr>
                <w:rFonts w:ascii="Times New Roman" w:hAnsi="Times New Roman"/>
                <w:sz w:val="24"/>
                <w:szCs w:val="24"/>
              </w:rPr>
              <w:t xml:space="preserve"> </w:t>
            </w:r>
          </w:p>
        </w:tc>
      </w:tr>
      <w:tr w:rsidR="00DE6176" w:rsidRPr="00DE6176" w14:paraId="580ABF86" w14:textId="77777777" w:rsidTr="00256B0A">
        <w:trPr>
          <w:trHeight w:val="1374"/>
        </w:trPr>
        <w:tc>
          <w:tcPr>
            <w:tcW w:w="971" w:type="dxa"/>
            <w:vMerge/>
            <w:tcBorders>
              <w:top w:val="nil"/>
              <w:left w:val="single" w:sz="4" w:space="0" w:color="000000"/>
              <w:bottom w:val="nil"/>
              <w:right w:val="single" w:sz="4" w:space="0" w:color="000000"/>
            </w:tcBorders>
          </w:tcPr>
          <w:p w14:paraId="05748C91"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DDFB739" w14:textId="77777777" w:rsidR="000B776A" w:rsidRPr="005A5FA4" w:rsidRDefault="000B776A" w:rsidP="005A5FA4">
            <w:pPr>
              <w:spacing w:after="0" w:line="238" w:lineRule="auto"/>
              <w:ind w:left="8" w:right="13"/>
              <w:rPr>
                <w:rFonts w:ascii="Times New Roman" w:hAnsi="Times New Roman"/>
                <w:sz w:val="24"/>
                <w:szCs w:val="24"/>
              </w:rPr>
            </w:pPr>
            <w:r w:rsidRPr="005A5FA4">
              <w:rPr>
                <w:rFonts w:ascii="Times New Roman" w:hAnsi="Times New Roman"/>
                <w:sz w:val="24"/>
                <w:szCs w:val="24"/>
              </w:rPr>
              <w:t xml:space="preserve">a) for a Gas Exchange with Clearing Corporation; (or) </w:t>
            </w:r>
          </w:p>
          <w:p w14:paraId="5D0E1196" w14:textId="29423EAD" w:rsidR="00DE6176" w:rsidRPr="00DE6176" w:rsidRDefault="000B776A" w:rsidP="005A5FA4">
            <w:pPr>
              <w:spacing w:after="0" w:line="238" w:lineRule="auto"/>
              <w:ind w:left="8" w:right="13"/>
              <w:rPr>
                <w:rFonts w:ascii="Times New Roman" w:hAnsi="Times New Roman"/>
                <w:sz w:val="24"/>
                <w:szCs w:val="24"/>
              </w:rPr>
            </w:pPr>
            <w:r w:rsidRPr="005A5FA4">
              <w:rPr>
                <w:rFonts w:ascii="Times New Roman" w:hAnsi="Times New Roman"/>
                <w:sz w:val="24"/>
                <w:szCs w:val="24"/>
              </w:rPr>
              <w:t>b) for a Gas Exchange without clearing corporation;</w:t>
            </w:r>
          </w:p>
        </w:tc>
        <w:tc>
          <w:tcPr>
            <w:tcW w:w="2684" w:type="dxa"/>
            <w:tcBorders>
              <w:top w:val="single" w:sz="4" w:space="0" w:color="000000"/>
              <w:left w:val="single" w:sz="4" w:space="0" w:color="000000"/>
              <w:bottom w:val="single" w:sz="4" w:space="0" w:color="000000"/>
              <w:right w:val="single" w:sz="4" w:space="0" w:color="000000"/>
            </w:tcBorders>
          </w:tcPr>
          <w:p w14:paraId="27428C6E" w14:textId="77777777" w:rsidR="000B776A" w:rsidRPr="000B776A" w:rsidRDefault="000B776A" w:rsidP="000B776A">
            <w:pPr>
              <w:spacing w:after="0" w:line="238" w:lineRule="auto"/>
              <w:ind w:left="8" w:right="13"/>
              <w:rPr>
                <w:rFonts w:ascii="Times New Roman" w:hAnsi="Times New Roman"/>
                <w:sz w:val="24"/>
                <w:szCs w:val="24"/>
              </w:rPr>
            </w:pPr>
            <w:r w:rsidRPr="000B776A">
              <w:rPr>
                <w:rFonts w:ascii="Times New Roman" w:hAnsi="Times New Roman"/>
                <w:sz w:val="24"/>
                <w:szCs w:val="24"/>
              </w:rPr>
              <w:t>Rs. 25,00,000 or 1% of total Revenue of the gas</w:t>
            </w:r>
          </w:p>
          <w:p w14:paraId="3F12255D" w14:textId="77777777" w:rsidR="000B776A" w:rsidRPr="000B776A" w:rsidRDefault="000B776A" w:rsidP="000B776A">
            <w:pPr>
              <w:spacing w:after="0" w:line="238" w:lineRule="auto"/>
              <w:ind w:left="8" w:right="13"/>
              <w:rPr>
                <w:rFonts w:ascii="Times New Roman" w:hAnsi="Times New Roman"/>
                <w:sz w:val="24"/>
                <w:szCs w:val="24"/>
              </w:rPr>
            </w:pPr>
            <w:r w:rsidRPr="000B776A">
              <w:rPr>
                <w:rFonts w:ascii="Times New Roman" w:hAnsi="Times New Roman"/>
                <w:sz w:val="24"/>
                <w:szCs w:val="24"/>
              </w:rPr>
              <w:t>exchange (excluding taxes) during the relevant</w:t>
            </w:r>
          </w:p>
          <w:p w14:paraId="36302C9D" w14:textId="77777777" w:rsidR="000B776A" w:rsidRPr="000B776A" w:rsidRDefault="000B776A" w:rsidP="000B776A">
            <w:pPr>
              <w:spacing w:after="0" w:line="238" w:lineRule="auto"/>
              <w:ind w:left="8" w:right="13"/>
              <w:rPr>
                <w:rFonts w:ascii="Times New Roman" w:hAnsi="Times New Roman"/>
                <w:sz w:val="24"/>
                <w:szCs w:val="24"/>
              </w:rPr>
            </w:pPr>
            <w:r w:rsidRPr="000B776A">
              <w:rPr>
                <w:rFonts w:ascii="Times New Roman" w:hAnsi="Times New Roman"/>
                <w:sz w:val="24"/>
                <w:szCs w:val="24"/>
              </w:rPr>
              <w:t>financial year as per the audited financial</w:t>
            </w:r>
          </w:p>
          <w:p w14:paraId="7FC5884C" w14:textId="6D6B2E1D" w:rsidR="00DE6176" w:rsidRPr="00DE6176" w:rsidRDefault="000B776A" w:rsidP="000B776A">
            <w:pPr>
              <w:spacing w:after="0" w:line="238" w:lineRule="auto"/>
              <w:ind w:left="8" w:right="13"/>
              <w:rPr>
                <w:rFonts w:ascii="Times New Roman" w:hAnsi="Times New Roman"/>
                <w:sz w:val="24"/>
                <w:szCs w:val="24"/>
              </w:rPr>
            </w:pPr>
            <w:r w:rsidRPr="000B776A">
              <w:rPr>
                <w:rFonts w:ascii="Times New Roman" w:hAnsi="Times New Roman"/>
                <w:sz w:val="24"/>
                <w:szCs w:val="24"/>
              </w:rPr>
              <w:t>statements, whichever is higher</w:t>
            </w:r>
          </w:p>
        </w:tc>
      </w:tr>
      <w:tr w:rsidR="00DE6176" w:rsidRPr="00DE6176" w14:paraId="7F67BB32" w14:textId="77777777" w:rsidTr="00256B0A">
        <w:trPr>
          <w:trHeight w:val="1396"/>
        </w:trPr>
        <w:tc>
          <w:tcPr>
            <w:tcW w:w="971" w:type="dxa"/>
            <w:vMerge/>
            <w:tcBorders>
              <w:top w:val="nil"/>
              <w:left w:val="single" w:sz="4" w:space="0" w:color="000000"/>
              <w:bottom w:val="single" w:sz="4" w:space="0" w:color="000000"/>
              <w:right w:val="single" w:sz="4" w:space="0" w:color="000000"/>
            </w:tcBorders>
          </w:tcPr>
          <w:p w14:paraId="2F625185"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9DE2CFC" w14:textId="77777777" w:rsidR="00DE6176" w:rsidRPr="00DE6176" w:rsidRDefault="00DE6176" w:rsidP="005A5FA4">
            <w:pPr>
              <w:spacing w:after="0" w:line="238" w:lineRule="auto"/>
              <w:ind w:left="8" w:right="13"/>
              <w:rPr>
                <w:rFonts w:ascii="Times New Roman" w:hAnsi="Times New Roman"/>
                <w:sz w:val="24"/>
                <w:szCs w:val="24"/>
              </w:rPr>
            </w:pPr>
            <w:r w:rsidRPr="00DE6176">
              <w:rPr>
                <w:rFonts w:ascii="Times New Roman" w:hAnsi="Times New Roman"/>
                <w:sz w:val="24"/>
                <w:szCs w:val="24"/>
              </w:rPr>
              <w:t xml:space="preserve">c) for </w:t>
            </w:r>
            <w:r w:rsidRPr="00DE6176">
              <w:rPr>
                <w:rFonts w:ascii="Times New Roman" w:hAnsi="Times New Roman"/>
                <w:sz w:val="24"/>
                <w:szCs w:val="24"/>
              </w:rPr>
              <w:tab/>
              <w:t xml:space="preserve">a Clearing Corporation  </w:t>
            </w:r>
          </w:p>
        </w:tc>
        <w:tc>
          <w:tcPr>
            <w:tcW w:w="2684" w:type="dxa"/>
            <w:tcBorders>
              <w:top w:val="single" w:sz="4" w:space="0" w:color="000000"/>
              <w:left w:val="single" w:sz="4" w:space="0" w:color="000000"/>
              <w:bottom w:val="single" w:sz="4" w:space="0" w:color="000000"/>
              <w:right w:val="single" w:sz="4" w:space="0" w:color="000000"/>
            </w:tcBorders>
          </w:tcPr>
          <w:p w14:paraId="1D2372E1" w14:textId="77777777" w:rsidR="000B776A" w:rsidRPr="000B776A" w:rsidRDefault="000B776A" w:rsidP="000B776A">
            <w:pPr>
              <w:spacing w:after="0" w:line="238" w:lineRule="auto"/>
              <w:rPr>
                <w:rFonts w:ascii="Times New Roman" w:hAnsi="Times New Roman"/>
                <w:sz w:val="24"/>
                <w:szCs w:val="24"/>
              </w:rPr>
            </w:pPr>
            <w:r w:rsidRPr="000B776A">
              <w:rPr>
                <w:rFonts w:ascii="Times New Roman" w:hAnsi="Times New Roman"/>
                <w:sz w:val="24"/>
                <w:szCs w:val="24"/>
              </w:rPr>
              <w:t>Rs. 25,00,000 or 1% of the total Revenue of the</w:t>
            </w:r>
          </w:p>
          <w:p w14:paraId="73FAF608" w14:textId="77777777" w:rsidR="000B776A" w:rsidRPr="000B776A" w:rsidRDefault="000B776A" w:rsidP="000B776A">
            <w:pPr>
              <w:spacing w:after="0" w:line="238" w:lineRule="auto"/>
              <w:rPr>
                <w:rFonts w:ascii="Times New Roman" w:hAnsi="Times New Roman"/>
                <w:sz w:val="24"/>
                <w:szCs w:val="24"/>
              </w:rPr>
            </w:pPr>
            <w:r w:rsidRPr="000B776A">
              <w:rPr>
                <w:rFonts w:ascii="Times New Roman" w:hAnsi="Times New Roman"/>
                <w:sz w:val="24"/>
                <w:szCs w:val="24"/>
              </w:rPr>
              <w:t>clearing corporation (excluding taxes) during the</w:t>
            </w:r>
          </w:p>
          <w:p w14:paraId="7DBD7801" w14:textId="77777777" w:rsidR="000B776A" w:rsidRPr="000B776A" w:rsidRDefault="000B776A" w:rsidP="000B776A">
            <w:pPr>
              <w:spacing w:after="0" w:line="238" w:lineRule="auto"/>
              <w:rPr>
                <w:rFonts w:ascii="Times New Roman" w:hAnsi="Times New Roman"/>
                <w:sz w:val="24"/>
                <w:szCs w:val="24"/>
              </w:rPr>
            </w:pPr>
            <w:r w:rsidRPr="000B776A">
              <w:rPr>
                <w:rFonts w:ascii="Times New Roman" w:hAnsi="Times New Roman"/>
                <w:sz w:val="24"/>
                <w:szCs w:val="24"/>
              </w:rPr>
              <w:t>relevant financial year as per the audited financial</w:t>
            </w:r>
          </w:p>
          <w:p w14:paraId="0B70BF4E" w14:textId="43D50260" w:rsidR="00DE6176" w:rsidRPr="00DE6176" w:rsidRDefault="000B776A" w:rsidP="000B776A">
            <w:pPr>
              <w:spacing w:after="0" w:line="238" w:lineRule="auto"/>
              <w:rPr>
                <w:rFonts w:ascii="Times New Roman" w:hAnsi="Times New Roman"/>
                <w:sz w:val="24"/>
                <w:szCs w:val="24"/>
              </w:rPr>
            </w:pPr>
            <w:r w:rsidRPr="000B776A">
              <w:rPr>
                <w:rFonts w:ascii="Times New Roman" w:hAnsi="Times New Roman"/>
                <w:sz w:val="24"/>
                <w:szCs w:val="24"/>
              </w:rPr>
              <w:t>statements, whichever is higher</w:t>
            </w:r>
          </w:p>
        </w:tc>
      </w:tr>
      <w:tr w:rsidR="00DE6176" w:rsidRPr="00DE6176" w14:paraId="11EF5236" w14:textId="77777777" w:rsidTr="005A5FA4">
        <w:trPr>
          <w:trHeight w:val="1536"/>
        </w:trPr>
        <w:tc>
          <w:tcPr>
            <w:tcW w:w="8475" w:type="dxa"/>
            <w:gridSpan w:val="3"/>
            <w:tcBorders>
              <w:top w:val="single" w:sz="4" w:space="0" w:color="000000"/>
              <w:left w:val="single" w:sz="4" w:space="0" w:color="000000"/>
              <w:bottom w:val="single" w:sz="4" w:space="0" w:color="000000"/>
              <w:right w:val="single" w:sz="4" w:space="0" w:color="000000"/>
            </w:tcBorders>
          </w:tcPr>
          <w:p w14:paraId="04C4EE1C" w14:textId="4A9B0B2E" w:rsidR="00DE6176" w:rsidRPr="00DE6176" w:rsidRDefault="000B776A" w:rsidP="005A5FA4">
            <w:pPr>
              <w:spacing w:after="0" w:line="259" w:lineRule="auto"/>
              <w:ind w:right="65"/>
              <w:jc w:val="both"/>
              <w:rPr>
                <w:rFonts w:ascii="Times New Roman" w:hAnsi="Times New Roman"/>
                <w:sz w:val="24"/>
                <w:szCs w:val="24"/>
              </w:rPr>
            </w:pPr>
            <w:r w:rsidRPr="005A5FA4">
              <w:rPr>
                <w:rFonts w:ascii="Times New Roman" w:hAnsi="Times New Roman"/>
                <w:b/>
                <w:bCs/>
                <w:sz w:val="24"/>
                <w:szCs w:val="24"/>
              </w:rPr>
              <w:t>Note:</w:t>
            </w:r>
            <w:r w:rsidRPr="000B776A">
              <w:rPr>
                <w:rFonts w:ascii="Times New Roman" w:hAnsi="Times New Roman"/>
                <w:sz w:val="24"/>
                <w:szCs w:val="24"/>
              </w:rPr>
              <w:t xml:space="preserve"> Other Charges in respect of gas exchange with clearing corporation or gas exchange without clearing</w:t>
            </w:r>
            <w:r>
              <w:rPr>
                <w:rFonts w:ascii="Times New Roman" w:hAnsi="Times New Roman"/>
                <w:sz w:val="24"/>
                <w:szCs w:val="24"/>
              </w:rPr>
              <w:t xml:space="preserve"> </w:t>
            </w:r>
            <w:r w:rsidRPr="000B776A">
              <w:rPr>
                <w:rFonts w:ascii="Times New Roman" w:hAnsi="Times New Roman"/>
                <w:sz w:val="24"/>
                <w:szCs w:val="24"/>
              </w:rPr>
              <w:t>corporation or clearing corporation may be initially paid considering the revenue accrued (excluding taxes)</w:t>
            </w:r>
            <w:r>
              <w:rPr>
                <w:rFonts w:ascii="Times New Roman" w:hAnsi="Times New Roman"/>
                <w:sz w:val="24"/>
                <w:szCs w:val="24"/>
              </w:rPr>
              <w:t xml:space="preserve"> </w:t>
            </w:r>
            <w:r w:rsidRPr="000B776A">
              <w:rPr>
                <w:rFonts w:ascii="Times New Roman" w:hAnsi="Times New Roman"/>
                <w:sz w:val="24"/>
                <w:szCs w:val="24"/>
              </w:rPr>
              <w:t>during the previous financial year. Difference of amount paid and payable shall be adjusted at the time of</w:t>
            </w:r>
            <w:r>
              <w:rPr>
                <w:rFonts w:ascii="Times New Roman" w:hAnsi="Times New Roman"/>
                <w:sz w:val="24"/>
                <w:szCs w:val="24"/>
              </w:rPr>
              <w:t xml:space="preserve"> </w:t>
            </w:r>
            <w:r w:rsidRPr="000B776A">
              <w:rPr>
                <w:rFonts w:ascii="Times New Roman" w:hAnsi="Times New Roman"/>
                <w:sz w:val="24"/>
                <w:szCs w:val="24"/>
              </w:rPr>
              <w:t>making payment for the next financial year</w:t>
            </w:r>
            <w:r>
              <w:rPr>
                <w:rFonts w:ascii="Times New Roman" w:hAnsi="Times New Roman"/>
                <w:sz w:val="24"/>
                <w:szCs w:val="24"/>
              </w:rPr>
              <w:t>.</w:t>
            </w:r>
            <w:r w:rsidR="00832C63">
              <w:rPr>
                <w:rFonts w:ascii="Times New Roman" w:hAnsi="Times New Roman"/>
                <w:sz w:val="24"/>
                <w:szCs w:val="24"/>
              </w:rPr>
              <w:t>]</w:t>
            </w:r>
          </w:p>
        </w:tc>
      </w:tr>
    </w:tbl>
    <w:p w14:paraId="4A61D74F" w14:textId="102E8619" w:rsidR="00DE6176" w:rsidRPr="00BB1015"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sidRPr="00BB1015">
        <w:rPr>
          <w:rFonts w:ascii="Times New Roman" w:hAnsi="Times New Roman"/>
          <w:spacing w:val="1"/>
          <w:sz w:val="24"/>
          <w:szCs w:val="24"/>
        </w:rPr>
        <w:t xml:space="preserve">Other Charges payable under this regulation shall be paid annually for each financial year that is to say a period of 12 months beginning on first April and ending on thirty-first March of the following year, within a period of two months from the </w:t>
      </w:r>
      <w:r>
        <w:rPr>
          <w:rFonts w:ascii="Times New Roman" w:hAnsi="Times New Roman"/>
          <w:spacing w:val="1"/>
          <w:sz w:val="24"/>
          <w:szCs w:val="24"/>
        </w:rPr>
        <w:t xml:space="preserve">beginning of the </w:t>
      </w:r>
      <w:r w:rsidRPr="00BB1015">
        <w:rPr>
          <w:rFonts w:ascii="Times New Roman" w:hAnsi="Times New Roman"/>
          <w:spacing w:val="1"/>
          <w:sz w:val="24"/>
          <w:szCs w:val="24"/>
        </w:rPr>
        <w:t>financial year.</w:t>
      </w:r>
    </w:p>
    <w:p w14:paraId="268DC9D1"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Other Charges payable under this regulation shall be rounded off to the nearest Rs. 100.</w:t>
      </w:r>
    </w:p>
    <w:p w14:paraId="288421C8"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 xml:space="preserve">Other Charges shall be paid through demand draft or pay order in favour of the Petroleum and Natural Gas Regulatory Board and payable at New Delhi, or by any electronic mode into the account of the Board. </w:t>
      </w:r>
    </w:p>
    <w:p w14:paraId="7010BABD"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In case of non-payment of Other Charges by the due date, late payment surcharge at the rate of one percent (1%) shall be payable on the outstanding amount for each month of delay or part thereof after due dates of payment as specified in sub-regulation (3). Such surcharge shall also be payable beginning from 1</w:t>
      </w:r>
      <w:r w:rsidRPr="00BB1015">
        <w:rPr>
          <w:rFonts w:ascii="Times New Roman" w:hAnsi="Times New Roman"/>
          <w:spacing w:val="1"/>
          <w:sz w:val="24"/>
          <w:szCs w:val="24"/>
        </w:rPr>
        <w:t>st</w:t>
      </w:r>
      <w:r>
        <w:rPr>
          <w:rFonts w:ascii="Times New Roman" w:hAnsi="Times New Roman"/>
          <w:spacing w:val="1"/>
          <w:sz w:val="24"/>
          <w:szCs w:val="24"/>
        </w:rPr>
        <w:t xml:space="preserve"> April, 2019 on the past dues of other Charges as on 31</w:t>
      </w:r>
      <w:r w:rsidRPr="00BB1015">
        <w:rPr>
          <w:rFonts w:ascii="Times New Roman" w:hAnsi="Times New Roman"/>
          <w:spacing w:val="1"/>
          <w:sz w:val="24"/>
          <w:szCs w:val="24"/>
        </w:rPr>
        <w:t>st</w:t>
      </w:r>
      <w:r>
        <w:rPr>
          <w:rFonts w:ascii="Times New Roman" w:hAnsi="Times New Roman"/>
          <w:spacing w:val="1"/>
          <w:sz w:val="24"/>
          <w:szCs w:val="24"/>
        </w:rPr>
        <w:t xml:space="preserve"> march 2019.</w:t>
      </w:r>
    </w:p>
    <w:p w14:paraId="6F2FAC9F" w14:textId="7AC76098" w:rsidR="00B82531" w:rsidRDefault="00B82531" w:rsidP="00B82531">
      <w:pPr>
        <w:pStyle w:val="ListParagraph"/>
        <w:widowControl w:val="0"/>
        <w:autoSpaceDE w:val="0"/>
        <w:autoSpaceDN w:val="0"/>
        <w:adjustRightInd w:val="0"/>
        <w:spacing w:before="240" w:after="0" w:line="240" w:lineRule="auto"/>
        <w:ind w:left="1004" w:right="-46" w:hanging="295"/>
        <w:jc w:val="both"/>
        <w:rPr>
          <w:rFonts w:ascii="Times New Roman" w:hAnsi="Times New Roman"/>
          <w:spacing w:val="1"/>
          <w:sz w:val="24"/>
          <w:szCs w:val="24"/>
        </w:rPr>
      </w:pPr>
      <w:r>
        <w:rPr>
          <w:rStyle w:val="FootnoteReference"/>
          <w:rFonts w:ascii="Times New Roman" w:hAnsi="Times New Roman"/>
          <w:spacing w:val="1"/>
          <w:sz w:val="24"/>
          <w:szCs w:val="24"/>
        </w:rPr>
        <w:footnoteReference w:id="15"/>
      </w:r>
      <w:r>
        <w:rPr>
          <w:rFonts w:ascii="Times New Roman" w:hAnsi="Times New Roman"/>
          <w:spacing w:val="1"/>
          <w:sz w:val="24"/>
          <w:szCs w:val="24"/>
        </w:rPr>
        <w:t>[</w:t>
      </w:r>
      <w:r w:rsidRPr="00B82531">
        <w:rPr>
          <w:rFonts w:ascii="Times New Roman" w:hAnsi="Times New Roman"/>
          <w:spacing w:val="1"/>
          <w:sz w:val="24"/>
          <w:szCs w:val="24"/>
        </w:rPr>
        <w:t>(7) Any entity liable to pay Other Charges or late payment surcharge in accordance with sub-regulation (2) and sub-regulations (3) to (6), shall submit details of remittance in Form-I attached to these regulations, within seven days of making such payment and any entity liable to pay Other Charges or late payment in accordance with sub-regulation 2A and sub-regulations (3) to (6), shall submit details of remittance in Form-II attached to these regulations, within seven days of making such payment.</w:t>
      </w:r>
      <w:r>
        <w:rPr>
          <w:rFonts w:ascii="Times New Roman" w:hAnsi="Times New Roman"/>
          <w:spacing w:val="1"/>
          <w:sz w:val="24"/>
          <w:szCs w:val="24"/>
        </w:rPr>
        <w:t>]</w:t>
      </w:r>
    </w:p>
    <w:p w14:paraId="34C8A6F3" w14:textId="77777777" w:rsidR="00DE6176"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Other charges receivable and other charges received shall be entered into a register to be maintained by the Board with the details such as other charges receivable, name of the entity remitting the payment, financial year for which payment has been made or is payable, name of the CGD network or the name of the pipeline, serial number, date and name of the bank or its branch in respect of the demand draft or pay order or details of electronic payment, as the case may be.</w:t>
      </w:r>
    </w:p>
    <w:p w14:paraId="10B998CA" w14:textId="77777777" w:rsidR="00DE6176" w:rsidRPr="00943749"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z w:val="24"/>
          <w:szCs w:val="24"/>
        </w:rPr>
      </w:pPr>
      <w:r>
        <w:rPr>
          <w:rFonts w:ascii="Times New Roman" w:hAnsi="Times New Roman"/>
          <w:spacing w:val="1"/>
          <w:sz w:val="24"/>
          <w:szCs w:val="24"/>
        </w:rPr>
        <w:lastRenderedPageBreak/>
        <w:t>Other charges already remitted by an entity till the financial year 2018-19 for ‘Construction Period’ under sub-regulation (2) of regulation 4 before the commencement of the Petroleum and Natural Gas Regulatory Board (Levy of Fee and Other Charges) Amendment Regulations, 2018 as interest free deposit, shall be adjusted by the Board against the applicable Other Charges under sub-regulation (2).</w:t>
      </w:r>
      <w:r>
        <w:rPr>
          <w:rFonts w:ascii="Times New Roman" w:hAnsi="Times New Roman"/>
          <w:sz w:val="24"/>
          <w:szCs w:val="24"/>
        </w:rPr>
        <w:t>]</w:t>
      </w:r>
    </w:p>
    <w:p w14:paraId="3B272F10" w14:textId="77777777" w:rsidR="00DE6176" w:rsidRPr="00943749" w:rsidRDefault="00DE6176" w:rsidP="00DE6176">
      <w:pPr>
        <w:numPr>
          <w:ilvl w:val="0"/>
          <w:numId w:val="8"/>
        </w:numPr>
        <w:spacing w:before="240" w:after="0" w:line="240" w:lineRule="auto"/>
        <w:ind w:right="-46" w:hanging="578"/>
        <w:jc w:val="both"/>
        <w:rPr>
          <w:rFonts w:ascii="Times New Roman" w:hAnsi="Times New Roman"/>
          <w:sz w:val="24"/>
          <w:szCs w:val="24"/>
        </w:rPr>
      </w:pPr>
      <w:r w:rsidRPr="00943749">
        <w:rPr>
          <w:rFonts w:ascii="Times New Roman" w:hAnsi="Times New Roman"/>
          <w:b/>
          <w:sz w:val="24"/>
          <w:szCs w:val="24"/>
        </w:rPr>
        <w:t xml:space="preserve">Power to review and modify fee and other </w:t>
      </w:r>
      <w:proofErr w:type="gramStart"/>
      <w:r w:rsidRPr="00943749">
        <w:rPr>
          <w:rFonts w:ascii="Times New Roman" w:hAnsi="Times New Roman"/>
          <w:b/>
          <w:sz w:val="24"/>
          <w:szCs w:val="24"/>
        </w:rPr>
        <w:t>charges</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Board may from time to time, review and modify the structure of fee and other charges payable under these regulations. The Board may also at any time, on reference from any affected party, and for good and sufficient reasons, review and modify the structure of fee and other charges payable under these regulations.</w:t>
      </w:r>
    </w:p>
    <w:p w14:paraId="69453CB2" w14:textId="140E4469" w:rsidR="00DE6176" w:rsidRDefault="00DE6176" w:rsidP="00DE6176">
      <w:pPr>
        <w:numPr>
          <w:ilvl w:val="0"/>
          <w:numId w:val="8"/>
        </w:numPr>
        <w:spacing w:before="240" w:after="0" w:line="240" w:lineRule="auto"/>
        <w:ind w:hanging="578"/>
        <w:jc w:val="both"/>
        <w:rPr>
          <w:rFonts w:ascii="Times New Roman" w:hAnsi="Times New Roman"/>
          <w:sz w:val="24"/>
          <w:szCs w:val="24"/>
        </w:rPr>
      </w:pPr>
      <w:r w:rsidRPr="00943749">
        <w:rPr>
          <w:rFonts w:ascii="Times New Roman" w:hAnsi="Times New Roman"/>
          <w:b/>
          <w:sz w:val="24"/>
          <w:szCs w:val="24"/>
        </w:rPr>
        <w:t xml:space="preserve">Explanatory </w:t>
      </w:r>
      <w:proofErr w:type="gramStart"/>
      <w:r w:rsidRPr="00943749">
        <w:rPr>
          <w:rFonts w:ascii="Times New Roman" w:hAnsi="Times New Roman"/>
          <w:b/>
          <w:sz w:val="24"/>
          <w:szCs w:val="24"/>
        </w:rPr>
        <w:t>Memorandum</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background and reasons for issuing these regulations are given in the explanatory memorandum at Annexure A.</w:t>
      </w:r>
    </w:p>
    <w:p w14:paraId="2036683C" w14:textId="77777777" w:rsidR="00DE6176" w:rsidRDefault="00DE6176" w:rsidP="00DE6176">
      <w:pPr>
        <w:spacing w:before="240" w:after="0" w:line="240" w:lineRule="auto"/>
        <w:ind w:left="142"/>
        <w:jc w:val="both"/>
        <w:rPr>
          <w:rFonts w:ascii="Times New Roman" w:hAnsi="Times New Roman"/>
          <w:sz w:val="24"/>
          <w:szCs w:val="24"/>
        </w:rPr>
      </w:pPr>
      <w:r>
        <w:rPr>
          <w:rStyle w:val="FootnoteReference"/>
          <w:rFonts w:ascii="Times New Roman" w:hAnsi="Times New Roman"/>
          <w:b/>
          <w:sz w:val="24"/>
          <w:szCs w:val="24"/>
        </w:rPr>
        <w:footnoteReference w:id="16"/>
      </w:r>
      <w:r>
        <w:rPr>
          <w:rFonts w:ascii="Times New Roman" w:hAnsi="Times New Roman"/>
          <w:b/>
          <w:sz w:val="24"/>
          <w:szCs w:val="24"/>
        </w:rPr>
        <w:t xml:space="preserve">[7.   </w:t>
      </w:r>
      <w:proofErr w:type="gramStart"/>
      <w:r>
        <w:rPr>
          <w:rFonts w:ascii="Times New Roman" w:hAnsi="Times New Roman"/>
          <w:b/>
          <w:sz w:val="24"/>
          <w:szCs w:val="24"/>
        </w:rPr>
        <w:t>Interpretation.</w:t>
      </w:r>
      <w:r w:rsidRPr="00943749">
        <w:rPr>
          <w:rFonts w:ascii="Times New Roman" w:hAnsi="Times New Roman"/>
          <w:b/>
          <w:sz w:val="24"/>
          <w:szCs w:val="24"/>
        </w:rPr>
        <w:t>–</w:t>
      </w:r>
      <w:proofErr w:type="gramEnd"/>
      <w:r w:rsidRPr="00943749">
        <w:rPr>
          <w:rFonts w:ascii="Times New Roman" w:hAnsi="Times New Roman"/>
          <w:sz w:val="24"/>
          <w:szCs w:val="24"/>
        </w:rPr>
        <w:t xml:space="preserve"> </w:t>
      </w:r>
    </w:p>
    <w:p w14:paraId="62498B07" w14:textId="77777777" w:rsidR="00DE6176" w:rsidRPr="00943749" w:rsidRDefault="00DE6176" w:rsidP="00DE6176">
      <w:pPr>
        <w:spacing w:before="240" w:after="0" w:line="240" w:lineRule="auto"/>
        <w:ind w:left="810"/>
        <w:jc w:val="both"/>
        <w:rPr>
          <w:rFonts w:ascii="Times New Roman" w:hAnsi="Times New Roman"/>
          <w:sz w:val="24"/>
          <w:szCs w:val="24"/>
        </w:rPr>
      </w:pPr>
      <w:r w:rsidRPr="00943749">
        <w:rPr>
          <w:rFonts w:ascii="Times New Roman" w:hAnsi="Times New Roman"/>
          <w:sz w:val="24"/>
          <w:szCs w:val="24"/>
        </w:rPr>
        <w:t xml:space="preserve">If any </w:t>
      </w:r>
      <w:r>
        <w:rPr>
          <w:rFonts w:ascii="Times New Roman" w:hAnsi="Times New Roman"/>
          <w:sz w:val="24"/>
          <w:szCs w:val="24"/>
        </w:rPr>
        <w:t xml:space="preserve">question arises as </w:t>
      </w:r>
      <w:r w:rsidRPr="00943749">
        <w:rPr>
          <w:rFonts w:ascii="Times New Roman" w:hAnsi="Times New Roman"/>
          <w:sz w:val="24"/>
          <w:szCs w:val="24"/>
        </w:rPr>
        <w:t xml:space="preserve">to the interpretation of these regulations, the </w:t>
      </w:r>
      <w:r>
        <w:rPr>
          <w:rFonts w:ascii="Times New Roman" w:hAnsi="Times New Roman"/>
          <w:sz w:val="24"/>
          <w:szCs w:val="24"/>
        </w:rPr>
        <w:t xml:space="preserve">same shall be </w:t>
      </w:r>
      <w:r w:rsidRPr="00943749">
        <w:rPr>
          <w:rFonts w:ascii="Times New Roman" w:hAnsi="Times New Roman"/>
          <w:sz w:val="24"/>
          <w:szCs w:val="24"/>
        </w:rPr>
        <w:t>deci</w:t>
      </w:r>
      <w:r>
        <w:rPr>
          <w:rFonts w:ascii="Times New Roman" w:hAnsi="Times New Roman"/>
          <w:sz w:val="24"/>
          <w:szCs w:val="24"/>
        </w:rPr>
        <w:t>ded by</w:t>
      </w:r>
      <w:r w:rsidRPr="00943749">
        <w:rPr>
          <w:rFonts w:ascii="Times New Roman" w:hAnsi="Times New Roman"/>
          <w:sz w:val="24"/>
          <w:szCs w:val="24"/>
        </w:rPr>
        <w:t xml:space="preserve"> the Board.</w:t>
      </w:r>
      <w:r>
        <w:rPr>
          <w:rFonts w:ascii="Times New Roman" w:hAnsi="Times New Roman"/>
          <w:sz w:val="24"/>
          <w:szCs w:val="24"/>
        </w:rPr>
        <w:t>]</w:t>
      </w:r>
    </w:p>
    <w:p w14:paraId="3A678574" w14:textId="77777777" w:rsidR="00DE6176" w:rsidRDefault="00DE6176" w:rsidP="00DE6176">
      <w:pPr>
        <w:spacing w:after="0" w:line="360" w:lineRule="auto"/>
        <w:jc w:val="right"/>
        <w:rPr>
          <w:rFonts w:ascii="Times New Roman" w:hAnsi="Times New Roman"/>
          <w:sz w:val="24"/>
          <w:szCs w:val="24"/>
        </w:rPr>
      </w:pPr>
    </w:p>
    <w:p w14:paraId="30777AEC" w14:textId="77777777" w:rsidR="00DE6176" w:rsidRDefault="00DE6176" w:rsidP="00DE6176">
      <w:pPr>
        <w:spacing w:after="0" w:line="360" w:lineRule="auto"/>
        <w:jc w:val="right"/>
        <w:rPr>
          <w:rFonts w:ascii="Times New Roman" w:hAnsi="Times New Roman"/>
          <w:sz w:val="24"/>
          <w:szCs w:val="24"/>
        </w:rPr>
      </w:pPr>
    </w:p>
    <w:p w14:paraId="72B38A05"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[S-</w:t>
      </w:r>
      <w:proofErr w:type="spellStart"/>
      <w:r w:rsidRPr="00943749">
        <w:rPr>
          <w:rFonts w:ascii="Times New Roman" w:hAnsi="Times New Roman"/>
          <w:sz w:val="24"/>
          <w:szCs w:val="24"/>
        </w:rPr>
        <w:t>Admn</w:t>
      </w:r>
      <w:proofErr w:type="spellEnd"/>
      <w:r w:rsidRPr="00943749">
        <w:rPr>
          <w:rFonts w:ascii="Times New Roman" w:hAnsi="Times New Roman"/>
          <w:sz w:val="24"/>
          <w:szCs w:val="24"/>
        </w:rPr>
        <w:t>/II/8/</w:t>
      </w:r>
      <w:r>
        <w:rPr>
          <w:rFonts w:ascii="Times New Roman" w:hAnsi="Times New Roman"/>
          <w:sz w:val="24"/>
          <w:szCs w:val="24"/>
        </w:rPr>
        <w:t>8</w:t>
      </w:r>
      <w:r w:rsidRPr="00943749">
        <w:rPr>
          <w:rFonts w:ascii="Times New Roman" w:hAnsi="Times New Roman"/>
          <w:sz w:val="24"/>
          <w:szCs w:val="24"/>
        </w:rPr>
        <w:t>007-Vol.I]</w:t>
      </w:r>
    </w:p>
    <w:p w14:paraId="6CC2DD4C"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AJAY TYAGI, Secy</w:t>
      </w:r>
    </w:p>
    <w:p w14:paraId="0AB093A4" w14:textId="77777777" w:rsidR="00DE6176" w:rsidRDefault="00DE6176" w:rsidP="00DE6176">
      <w:pPr>
        <w:spacing w:after="0" w:line="360" w:lineRule="auto"/>
        <w:jc w:val="right"/>
        <w:rPr>
          <w:rFonts w:ascii="Times New Roman" w:hAnsi="Times New Roman"/>
          <w:b/>
          <w:sz w:val="24"/>
          <w:szCs w:val="24"/>
          <w:u w:val="single"/>
        </w:rPr>
      </w:pPr>
    </w:p>
    <w:p w14:paraId="331CA4C4"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CE9B0CB"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C30416C"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803B53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4960817"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3E729110"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09182C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642EE7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3C60719"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BA9ECAD"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14BA78F"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6F388DE"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711F5F76"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BE2F1AA"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2C63926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514076A" w14:textId="77777777" w:rsidR="0022599F" w:rsidRDefault="0022599F" w:rsidP="00AF621A">
      <w:pPr>
        <w:widowControl w:val="0"/>
        <w:autoSpaceDE w:val="0"/>
        <w:autoSpaceDN w:val="0"/>
        <w:adjustRightInd w:val="0"/>
        <w:spacing w:after="0"/>
        <w:ind w:right="-261"/>
        <w:rPr>
          <w:rFonts w:ascii="Times New Roman" w:hAnsi="Times New Roman"/>
          <w:b/>
          <w:bCs/>
          <w:spacing w:val="1"/>
          <w:sz w:val="24"/>
          <w:szCs w:val="24"/>
        </w:rPr>
      </w:pPr>
    </w:p>
    <w:p w14:paraId="0736F513" w14:textId="77777777" w:rsidR="00AF621A" w:rsidRPr="00AF621A" w:rsidRDefault="00AF621A" w:rsidP="00AF621A">
      <w:pPr>
        <w:widowControl w:val="0"/>
        <w:autoSpaceDE w:val="0"/>
        <w:autoSpaceDN w:val="0"/>
        <w:adjustRightInd w:val="0"/>
        <w:spacing w:after="0"/>
        <w:ind w:right="-261"/>
        <w:rPr>
          <w:rFonts w:ascii="Times New Roman" w:hAnsi="Times New Roman"/>
          <w:b/>
          <w:bCs/>
          <w:spacing w:val="1"/>
          <w:sz w:val="24"/>
          <w:szCs w:val="24"/>
        </w:rPr>
      </w:pPr>
    </w:p>
    <w:p w14:paraId="2FA08363" w14:textId="77777777" w:rsidR="0022599F" w:rsidRDefault="0022599F"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24AB8CE" w14:textId="5EEFC68A" w:rsidR="00DE6176" w:rsidRPr="00693054"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lastRenderedPageBreak/>
        <w:t>Form-I</w:t>
      </w:r>
    </w:p>
    <w:p w14:paraId="47A0983E"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t>[See regulation 4(7)]</w:t>
      </w:r>
    </w:p>
    <w:p w14:paraId="76FD6174" w14:textId="77777777" w:rsidR="00DE6176" w:rsidRDefault="00DE6176" w:rsidP="00DE6176">
      <w:pPr>
        <w:pStyle w:val="ListParagraph"/>
        <w:widowControl w:val="0"/>
        <w:autoSpaceDE w:val="0"/>
        <w:autoSpaceDN w:val="0"/>
        <w:adjustRightInd w:val="0"/>
        <w:spacing w:after="0"/>
        <w:ind w:left="284" w:right="-261"/>
        <w:rPr>
          <w:rFonts w:ascii="Times New Roman" w:hAnsi="Times New Roman"/>
          <w:spacing w:val="1"/>
          <w:sz w:val="24"/>
          <w:szCs w:val="24"/>
        </w:rPr>
      </w:pPr>
      <w:r>
        <w:rPr>
          <w:rFonts w:ascii="Times New Roman" w:hAnsi="Times New Roman"/>
          <w:spacing w:val="1"/>
          <w:sz w:val="24"/>
          <w:szCs w:val="24"/>
        </w:rPr>
        <w:t xml:space="preserve">Details of other charges payable and paid as per part A of the Table under regulation 4(1) for the financial year </w:t>
      </w:r>
      <w:proofErr w:type="gramStart"/>
      <w:r>
        <w:rPr>
          <w:rFonts w:ascii="Times New Roman" w:hAnsi="Times New Roman"/>
          <w:spacing w:val="1"/>
          <w:sz w:val="24"/>
          <w:szCs w:val="24"/>
        </w:rPr>
        <w:t>20..</w:t>
      </w:r>
      <w:proofErr w:type="gramEnd"/>
      <w:r>
        <w:rPr>
          <w:rFonts w:ascii="Times New Roman" w:hAnsi="Times New Roman"/>
          <w:spacing w:val="1"/>
          <w:sz w:val="24"/>
          <w:szCs w:val="24"/>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324"/>
        <w:gridCol w:w="1992"/>
        <w:gridCol w:w="1346"/>
        <w:gridCol w:w="1679"/>
      </w:tblGrid>
      <w:tr w:rsidR="00DE6176" w14:paraId="5509DB9B" w14:textId="77777777" w:rsidTr="00256B0A">
        <w:tc>
          <w:tcPr>
            <w:tcW w:w="9226" w:type="dxa"/>
            <w:gridSpan w:val="5"/>
          </w:tcPr>
          <w:p w14:paraId="7190A4A9"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Name of entity</w:t>
            </w:r>
          </w:p>
        </w:tc>
      </w:tr>
      <w:tr w:rsidR="00DE6176" w14:paraId="46BF0A5E" w14:textId="77777777" w:rsidTr="00256B0A">
        <w:tc>
          <w:tcPr>
            <w:tcW w:w="9226" w:type="dxa"/>
            <w:gridSpan w:val="5"/>
          </w:tcPr>
          <w:p w14:paraId="763ABF05"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Address of the entity</w:t>
            </w:r>
          </w:p>
        </w:tc>
      </w:tr>
      <w:tr w:rsidR="00DE6176" w14:paraId="00046684" w14:textId="77777777" w:rsidTr="00256B0A">
        <w:tc>
          <w:tcPr>
            <w:tcW w:w="9226" w:type="dxa"/>
            <w:gridSpan w:val="5"/>
          </w:tcPr>
          <w:p w14:paraId="29FD9330"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left="319"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CGD Networks </w:t>
            </w:r>
          </w:p>
        </w:tc>
      </w:tr>
      <w:tr w:rsidR="00DE6176" w14:paraId="7DB5CC4E" w14:textId="77777777" w:rsidTr="00256B0A">
        <w:tc>
          <w:tcPr>
            <w:tcW w:w="2605" w:type="dxa"/>
          </w:tcPr>
          <w:p w14:paraId="43DD93C5"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 xml:space="preserve">Name of the CGD Networks (GA) </w:t>
            </w:r>
          </w:p>
        </w:tc>
        <w:tc>
          <w:tcPr>
            <w:tcW w:w="1324" w:type="dxa"/>
          </w:tcPr>
          <w:p w14:paraId="267AC0CA"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r w:rsidRPr="00DC6C95">
              <w:rPr>
                <w:rFonts w:ascii="Times New Roman" w:hAnsi="Times New Roman"/>
                <w:spacing w:val="1"/>
                <w:sz w:val="24"/>
                <w:szCs w:val="24"/>
              </w:rPr>
              <w:t>Population as per 2011 Census of India</w:t>
            </w:r>
          </w:p>
        </w:tc>
        <w:tc>
          <w:tcPr>
            <w:tcW w:w="2089" w:type="dxa"/>
          </w:tcPr>
          <w:p w14:paraId="4E42CD0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Financial year from the start of grant of authorization or acceptance thereof by the Board</w:t>
            </w:r>
          </w:p>
        </w:tc>
        <w:tc>
          <w:tcPr>
            <w:tcW w:w="1412" w:type="dxa"/>
          </w:tcPr>
          <w:p w14:paraId="73BFDEC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 xml:space="preserve">Other charges paid or payable </w:t>
            </w:r>
          </w:p>
          <w:p w14:paraId="22D36233"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(Rs.)</w:t>
            </w:r>
          </w:p>
        </w:tc>
        <w:tc>
          <w:tcPr>
            <w:tcW w:w="1796" w:type="dxa"/>
          </w:tcPr>
          <w:p w14:paraId="226AFE98"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1FD188E3" w14:textId="77777777" w:rsidTr="00256B0A">
        <w:tc>
          <w:tcPr>
            <w:tcW w:w="2605" w:type="dxa"/>
          </w:tcPr>
          <w:p w14:paraId="426BCA4A"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1.</w:t>
            </w:r>
          </w:p>
        </w:tc>
        <w:tc>
          <w:tcPr>
            <w:tcW w:w="1324" w:type="dxa"/>
          </w:tcPr>
          <w:p w14:paraId="3C3C5FC3"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3327E6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3270E1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3C54E492"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BCC9FBC" w14:textId="77777777" w:rsidTr="00256B0A">
        <w:tc>
          <w:tcPr>
            <w:tcW w:w="2605" w:type="dxa"/>
          </w:tcPr>
          <w:p w14:paraId="447D29C2"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2.</w:t>
            </w:r>
          </w:p>
        </w:tc>
        <w:tc>
          <w:tcPr>
            <w:tcW w:w="1324" w:type="dxa"/>
          </w:tcPr>
          <w:p w14:paraId="10B7C149"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47EBDC5"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D432DD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55438EDD"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8F34DAA" w14:textId="77777777" w:rsidTr="00256B0A">
        <w:tc>
          <w:tcPr>
            <w:tcW w:w="2605" w:type="dxa"/>
          </w:tcPr>
          <w:p w14:paraId="1418B4E9"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3.</w:t>
            </w:r>
          </w:p>
        </w:tc>
        <w:tc>
          <w:tcPr>
            <w:tcW w:w="1324" w:type="dxa"/>
          </w:tcPr>
          <w:p w14:paraId="12E0F84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5BA2A1E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0928EA8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1BA73A6"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EF730F8" w14:textId="77777777" w:rsidTr="00256B0A">
        <w:tc>
          <w:tcPr>
            <w:tcW w:w="2605" w:type="dxa"/>
          </w:tcPr>
          <w:p w14:paraId="58F772F6"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w:t>
            </w:r>
          </w:p>
        </w:tc>
        <w:tc>
          <w:tcPr>
            <w:tcW w:w="1324" w:type="dxa"/>
          </w:tcPr>
          <w:p w14:paraId="2802300B"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6F9E651"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6C05A6D6"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2FDE51DC"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C32C591" w14:textId="77777777" w:rsidTr="00256B0A">
        <w:tc>
          <w:tcPr>
            <w:tcW w:w="2605" w:type="dxa"/>
          </w:tcPr>
          <w:p w14:paraId="6C1EA84E"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Sub-Total – (a)</w:t>
            </w:r>
          </w:p>
        </w:tc>
        <w:tc>
          <w:tcPr>
            <w:tcW w:w="1324" w:type="dxa"/>
          </w:tcPr>
          <w:p w14:paraId="6F2BAF3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9EEE7E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5D43E8B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14416F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9008520" w14:textId="77777777" w:rsidTr="00256B0A">
        <w:tc>
          <w:tcPr>
            <w:tcW w:w="9226" w:type="dxa"/>
            <w:gridSpan w:val="5"/>
          </w:tcPr>
          <w:p w14:paraId="42D24DD4"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Pipelines </w:t>
            </w:r>
          </w:p>
        </w:tc>
      </w:tr>
      <w:tr w:rsidR="00DE6176" w14:paraId="106A0838" w14:textId="77777777" w:rsidTr="00256B0A">
        <w:tc>
          <w:tcPr>
            <w:tcW w:w="2605" w:type="dxa"/>
          </w:tcPr>
          <w:p w14:paraId="43FFDE90"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Name of the Pipeline (Natural Gas and Petroleum or Petroleum Products)</w:t>
            </w:r>
          </w:p>
        </w:tc>
        <w:tc>
          <w:tcPr>
            <w:tcW w:w="3413" w:type="dxa"/>
            <w:gridSpan w:val="2"/>
          </w:tcPr>
          <w:p w14:paraId="4A0A0E28"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Revenue (excluding taxes) accrued during the previous financial year</w:t>
            </w:r>
          </w:p>
        </w:tc>
        <w:tc>
          <w:tcPr>
            <w:tcW w:w="1412" w:type="dxa"/>
          </w:tcPr>
          <w:p w14:paraId="7ECDF82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Other Charges paid or payable</w:t>
            </w:r>
          </w:p>
        </w:tc>
        <w:tc>
          <w:tcPr>
            <w:tcW w:w="1796" w:type="dxa"/>
          </w:tcPr>
          <w:p w14:paraId="3EB7133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654FCC08" w14:textId="77777777" w:rsidTr="00256B0A">
        <w:tc>
          <w:tcPr>
            <w:tcW w:w="2605" w:type="dxa"/>
          </w:tcPr>
          <w:p w14:paraId="4ECA05E3"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1.</w:t>
            </w:r>
          </w:p>
        </w:tc>
        <w:tc>
          <w:tcPr>
            <w:tcW w:w="3413" w:type="dxa"/>
            <w:gridSpan w:val="2"/>
          </w:tcPr>
          <w:p w14:paraId="3750C27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041F3E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6D36AB20"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0CB6A0BA" w14:textId="77777777" w:rsidTr="00256B0A">
        <w:tc>
          <w:tcPr>
            <w:tcW w:w="2605" w:type="dxa"/>
          </w:tcPr>
          <w:p w14:paraId="41532DD7"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2.</w:t>
            </w:r>
          </w:p>
        </w:tc>
        <w:tc>
          <w:tcPr>
            <w:tcW w:w="3413" w:type="dxa"/>
            <w:gridSpan w:val="2"/>
          </w:tcPr>
          <w:p w14:paraId="2F12704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169AE6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E548D1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5762C9A2" w14:textId="77777777" w:rsidTr="00256B0A">
        <w:tc>
          <w:tcPr>
            <w:tcW w:w="2605" w:type="dxa"/>
          </w:tcPr>
          <w:p w14:paraId="5540B78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3.</w:t>
            </w:r>
          </w:p>
        </w:tc>
        <w:tc>
          <w:tcPr>
            <w:tcW w:w="3413" w:type="dxa"/>
            <w:gridSpan w:val="2"/>
          </w:tcPr>
          <w:p w14:paraId="2ECE1D46"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445CEB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518E6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DB0854D" w14:textId="77777777" w:rsidTr="00256B0A">
        <w:tc>
          <w:tcPr>
            <w:tcW w:w="2605" w:type="dxa"/>
          </w:tcPr>
          <w:p w14:paraId="03DE3594"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w:t>
            </w:r>
          </w:p>
        </w:tc>
        <w:tc>
          <w:tcPr>
            <w:tcW w:w="3413" w:type="dxa"/>
            <w:gridSpan w:val="2"/>
          </w:tcPr>
          <w:p w14:paraId="7EBA2D8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477282A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F0BAB1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B6B60C9" w14:textId="77777777" w:rsidTr="00256B0A">
        <w:tc>
          <w:tcPr>
            <w:tcW w:w="6018" w:type="dxa"/>
            <w:gridSpan w:val="3"/>
          </w:tcPr>
          <w:p w14:paraId="07F6A7EE"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Sub-total- (b)</w:t>
            </w:r>
          </w:p>
        </w:tc>
        <w:tc>
          <w:tcPr>
            <w:tcW w:w="1412" w:type="dxa"/>
          </w:tcPr>
          <w:p w14:paraId="1C94F77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9E6EE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C76C382" w14:textId="77777777" w:rsidTr="0022599F">
        <w:tc>
          <w:tcPr>
            <w:tcW w:w="6018" w:type="dxa"/>
            <w:gridSpan w:val="3"/>
            <w:tcBorders>
              <w:bottom w:val="single" w:sz="4" w:space="0" w:color="auto"/>
            </w:tcBorders>
          </w:tcPr>
          <w:p w14:paraId="716CE90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Total- (a)+(b)</w:t>
            </w:r>
          </w:p>
        </w:tc>
        <w:tc>
          <w:tcPr>
            <w:tcW w:w="1412" w:type="dxa"/>
            <w:tcBorders>
              <w:bottom w:val="single" w:sz="4" w:space="0" w:color="auto"/>
            </w:tcBorders>
          </w:tcPr>
          <w:p w14:paraId="7A3525A8"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Borders>
              <w:bottom w:val="single" w:sz="4" w:space="0" w:color="auto"/>
            </w:tcBorders>
          </w:tcPr>
          <w:p w14:paraId="63F29624"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31FDF3CF" w14:textId="77777777" w:rsidTr="0022599F">
        <w:trPr>
          <w:trHeight w:val="1902"/>
        </w:trPr>
        <w:tc>
          <w:tcPr>
            <w:tcW w:w="2605" w:type="dxa"/>
            <w:tcBorders>
              <w:top w:val="single" w:sz="4" w:space="0" w:color="auto"/>
              <w:left w:val="single" w:sz="4" w:space="0" w:color="auto"/>
              <w:bottom w:val="single" w:sz="4" w:space="0" w:color="auto"/>
              <w:right w:val="single" w:sz="4" w:space="0" w:color="auto"/>
            </w:tcBorders>
          </w:tcPr>
          <w:p w14:paraId="233749A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u w:val="single"/>
              </w:rPr>
            </w:pPr>
            <w:r w:rsidRPr="00DC6C95">
              <w:rPr>
                <w:rFonts w:ascii="Times New Roman" w:hAnsi="Times New Roman"/>
                <w:spacing w:val="1"/>
                <w:sz w:val="24"/>
                <w:szCs w:val="24"/>
                <w:u w:val="single"/>
              </w:rPr>
              <w:t>Details of remittance</w:t>
            </w:r>
          </w:p>
          <w:p w14:paraId="1B11C6EB"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 xml:space="preserve">Demand Draft or pay order No./Ref No. of Electronic payment, Date of Issue or Payment, Bank and branch at which payable Amount (in Rupees)  </w:t>
            </w:r>
          </w:p>
        </w:tc>
        <w:tc>
          <w:tcPr>
            <w:tcW w:w="6621" w:type="dxa"/>
            <w:gridSpan w:val="4"/>
            <w:tcBorders>
              <w:top w:val="single" w:sz="4" w:space="0" w:color="auto"/>
              <w:left w:val="single" w:sz="4" w:space="0" w:color="auto"/>
              <w:bottom w:val="single" w:sz="4" w:space="0" w:color="auto"/>
              <w:right w:val="single" w:sz="4" w:space="0" w:color="auto"/>
            </w:tcBorders>
          </w:tcPr>
          <w:p w14:paraId="1408D5C7"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bl>
    <w:p w14:paraId="767F0EBC" w14:textId="77777777" w:rsidR="00DE6176" w:rsidRDefault="00DE6176" w:rsidP="00DE6176">
      <w:pPr>
        <w:spacing w:after="0" w:line="360" w:lineRule="auto"/>
        <w:jc w:val="right"/>
        <w:rPr>
          <w:rFonts w:ascii="Times New Roman" w:hAnsi="Times New Roman"/>
          <w:b/>
          <w:sz w:val="24"/>
          <w:szCs w:val="24"/>
          <w:u w:val="single"/>
        </w:rPr>
      </w:pPr>
    </w:p>
    <w:p w14:paraId="03652787" w14:textId="77777777" w:rsidR="00DE6176" w:rsidRDefault="00DE6176" w:rsidP="00DE6176">
      <w:pPr>
        <w:spacing w:after="0" w:line="360" w:lineRule="auto"/>
        <w:jc w:val="right"/>
        <w:rPr>
          <w:rFonts w:ascii="Times New Roman" w:hAnsi="Times New Roman"/>
          <w:b/>
          <w:sz w:val="24"/>
          <w:szCs w:val="24"/>
          <w:u w:val="single"/>
        </w:rPr>
      </w:pPr>
    </w:p>
    <w:p w14:paraId="5AAA28CE" w14:textId="77777777" w:rsidR="00DE6176" w:rsidRDefault="00DE6176" w:rsidP="00DE6176">
      <w:pPr>
        <w:spacing w:after="0" w:line="360" w:lineRule="auto"/>
        <w:jc w:val="right"/>
        <w:rPr>
          <w:rFonts w:ascii="Times New Roman" w:hAnsi="Times New Roman"/>
          <w:b/>
          <w:sz w:val="24"/>
          <w:szCs w:val="24"/>
          <w:u w:val="single"/>
        </w:rPr>
      </w:pPr>
    </w:p>
    <w:p w14:paraId="4CEC3A9B" w14:textId="77777777" w:rsidR="00DE6176" w:rsidRDefault="00DE6176" w:rsidP="00DE6176">
      <w:pPr>
        <w:spacing w:after="0" w:line="360" w:lineRule="auto"/>
        <w:jc w:val="right"/>
        <w:rPr>
          <w:rFonts w:ascii="Times New Roman" w:hAnsi="Times New Roman"/>
          <w:b/>
          <w:sz w:val="24"/>
          <w:szCs w:val="24"/>
          <w:u w:val="single"/>
        </w:rPr>
      </w:pPr>
    </w:p>
    <w:p w14:paraId="1D9128FF" w14:textId="77777777" w:rsidR="00DE6176" w:rsidRDefault="00DE6176" w:rsidP="00DE6176">
      <w:pPr>
        <w:spacing w:after="0" w:line="360" w:lineRule="auto"/>
        <w:jc w:val="right"/>
        <w:rPr>
          <w:rFonts w:ascii="Times New Roman" w:hAnsi="Times New Roman"/>
          <w:b/>
          <w:sz w:val="24"/>
          <w:szCs w:val="24"/>
          <w:u w:val="single"/>
        </w:rPr>
      </w:pPr>
    </w:p>
    <w:p w14:paraId="64DE8C8F" w14:textId="77777777" w:rsidR="00DE6176" w:rsidRDefault="00DE6176" w:rsidP="00DE6176">
      <w:pPr>
        <w:spacing w:after="0" w:line="360" w:lineRule="auto"/>
        <w:jc w:val="right"/>
        <w:rPr>
          <w:rFonts w:ascii="Times New Roman" w:hAnsi="Times New Roman"/>
          <w:b/>
          <w:sz w:val="24"/>
          <w:szCs w:val="24"/>
          <w:u w:val="single"/>
        </w:rPr>
      </w:pPr>
    </w:p>
    <w:p w14:paraId="48C3468E" w14:textId="77777777" w:rsidR="00DE6176" w:rsidRDefault="00DE6176" w:rsidP="00DE6176">
      <w:pPr>
        <w:spacing w:after="0" w:line="360" w:lineRule="auto"/>
        <w:jc w:val="right"/>
        <w:rPr>
          <w:rFonts w:ascii="Times New Roman" w:hAnsi="Times New Roman"/>
          <w:b/>
          <w:sz w:val="24"/>
          <w:szCs w:val="24"/>
          <w:u w:val="single"/>
        </w:rPr>
      </w:pPr>
    </w:p>
    <w:p w14:paraId="7E085498" w14:textId="1C06416D" w:rsidR="00B82531" w:rsidRPr="00B82531" w:rsidRDefault="00B82531" w:rsidP="00B82531">
      <w:pPr>
        <w:pStyle w:val="Heading1"/>
        <w:spacing w:after="257"/>
        <w:ind w:left="219" w:right="214"/>
        <w:rPr>
          <w:szCs w:val="24"/>
        </w:rPr>
      </w:pPr>
      <w:r>
        <w:rPr>
          <w:rStyle w:val="FootnoteReference"/>
          <w:szCs w:val="24"/>
        </w:rPr>
        <w:lastRenderedPageBreak/>
        <w:footnoteReference w:id="17"/>
      </w:r>
      <w:r>
        <w:rPr>
          <w:szCs w:val="24"/>
        </w:rPr>
        <w:t>[</w:t>
      </w:r>
      <w:r w:rsidRPr="00B82531">
        <w:rPr>
          <w:szCs w:val="24"/>
        </w:rPr>
        <w:t xml:space="preserve">Form – II </w:t>
      </w:r>
    </w:p>
    <w:p w14:paraId="20A24966" w14:textId="77777777" w:rsidR="00B82531" w:rsidRPr="00B82531" w:rsidRDefault="00B82531" w:rsidP="00B82531">
      <w:pPr>
        <w:pStyle w:val="Heading1"/>
        <w:spacing w:after="257"/>
        <w:ind w:left="219" w:right="214"/>
        <w:rPr>
          <w:szCs w:val="24"/>
        </w:rPr>
      </w:pPr>
      <w:r w:rsidRPr="00B82531">
        <w:rPr>
          <w:szCs w:val="24"/>
        </w:rPr>
        <w:t xml:space="preserve">[See regulation 4(7)] </w:t>
      </w:r>
    </w:p>
    <w:p w14:paraId="0CE6A367" w14:textId="77777777" w:rsidR="00B82531" w:rsidRPr="00B82531" w:rsidRDefault="00B82531" w:rsidP="00B82531">
      <w:pPr>
        <w:spacing w:after="0"/>
        <w:ind w:left="293" w:right="34"/>
        <w:jc w:val="center"/>
        <w:rPr>
          <w:rFonts w:ascii="Times New Roman" w:hAnsi="Times New Roman"/>
          <w:sz w:val="24"/>
          <w:szCs w:val="24"/>
        </w:rPr>
      </w:pPr>
      <w:r w:rsidRPr="00B82531">
        <w:rPr>
          <w:rFonts w:ascii="Times New Roman" w:hAnsi="Times New Roman"/>
          <w:sz w:val="24"/>
          <w:szCs w:val="24"/>
        </w:rPr>
        <w:t>Details of annual other charges payable and paid as per Table specified in sub-regulation (2A) of regulation 4 for the financial year 20_</w:t>
      </w:r>
    </w:p>
    <w:p w14:paraId="071755A0" w14:textId="77777777" w:rsidR="00B82531" w:rsidRPr="00B82531" w:rsidRDefault="00B82531" w:rsidP="00B82531">
      <w:pPr>
        <w:spacing w:after="0"/>
        <w:ind w:left="293" w:right="34"/>
        <w:rPr>
          <w:rFonts w:ascii="Times New Roman" w:hAnsi="Times New Roman"/>
          <w:sz w:val="24"/>
          <w:szCs w:val="24"/>
        </w:rPr>
      </w:pPr>
    </w:p>
    <w:tbl>
      <w:tblPr>
        <w:tblStyle w:val="TableGrid"/>
        <w:tblW w:w="8776" w:type="dxa"/>
        <w:tblInd w:w="288" w:type="dxa"/>
        <w:tblCellMar>
          <w:top w:w="14" w:type="dxa"/>
          <w:left w:w="108" w:type="dxa"/>
          <w:right w:w="58" w:type="dxa"/>
        </w:tblCellMar>
        <w:tblLook w:val="04A0" w:firstRow="1" w:lastRow="0" w:firstColumn="1" w:lastColumn="0" w:noHBand="0" w:noVBand="1"/>
      </w:tblPr>
      <w:tblGrid>
        <w:gridCol w:w="2067"/>
        <w:gridCol w:w="1751"/>
        <w:gridCol w:w="1850"/>
        <w:gridCol w:w="1552"/>
        <w:gridCol w:w="1556"/>
      </w:tblGrid>
      <w:tr w:rsidR="00B82531" w:rsidRPr="00B82531" w14:paraId="7CDFE19E"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253C9F3D"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Name of Gas Exchange or Clearing Corporation </w:t>
            </w:r>
          </w:p>
        </w:tc>
        <w:tc>
          <w:tcPr>
            <w:tcW w:w="1552" w:type="dxa"/>
            <w:tcBorders>
              <w:top w:val="single" w:sz="4" w:space="0" w:color="000000"/>
              <w:left w:val="nil"/>
              <w:bottom w:val="single" w:sz="4" w:space="0" w:color="000000"/>
              <w:right w:val="nil"/>
            </w:tcBorders>
          </w:tcPr>
          <w:p w14:paraId="21B59EE9"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4F9E0984"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14C7C4DC"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33DF7458"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Address of the Gas Exchange or Clearing Corporation </w:t>
            </w:r>
          </w:p>
        </w:tc>
        <w:tc>
          <w:tcPr>
            <w:tcW w:w="1552" w:type="dxa"/>
            <w:tcBorders>
              <w:top w:val="single" w:sz="4" w:space="0" w:color="000000"/>
              <w:left w:val="nil"/>
              <w:bottom w:val="single" w:sz="4" w:space="0" w:color="000000"/>
              <w:right w:val="nil"/>
            </w:tcBorders>
          </w:tcPr>
          <w:p w14:paraId="1E7F16E2"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0C9D9773"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22D5315A" w14:textId="77777777" w:rsidTr="00256B0A">
        <w:trPr>
          <w:trHeight w:val="1114"/>
        </w:trPr>
        <w:tc>
          <w:tcPr>
            <w:tcW w:w="2067" w:type="dxa"/>
            <w:tcBorders>
              <w:top w:val="single" w:sz="4" w:space="0" w:color="000000"/>
              <w:left w:val="single" w:sz="4" w:space="0" w:color="000000"/>
              <w:bottom w:val="single" w:sz="4" w:space="0" w:color="000000"/>
              <w:right w:val="single" w:sz="4" w:space="0" w:color="000000"/>
            </w:tcBorders>
          </w:tcPr>
          <w:p w14:paraId="4ED7FA99" w14:textId="77777777" w:rsidR="00B82531" w:rsidRPr="00B82531" w:rsidRDefault="00B82531" w:rsidP="00256B0A">
            <w:pPr>
              <w:spacing w:after="0" w:line="259" w:lineRule="auto"/>
              <w:ind w:right="31"/>
              <w:rPr>
                <w:rFonts w:ascii="Times New Roman" w:hAnsi="Times New Roman"/>
                <w:sz w:val="24"/>
                <w:szCs w:val="24"/>
              </w:rPr>
            </w:pPr>
            <w:r w:rsidRPr="00B82531">
              <w:rPr>
                <w:rFonts w:ascii="Times New Roman" w:hAnsi="Times New Roman"/>
                <w:sz w:val="24"/>
                <w:szCs w:val="24"/>
              </w:rPr>
              <w:t>Financial year of grant of authorization or Financial Year</w:t>
            </w:r>
          </w:p>
        </w:tc>
        <w:tc>
          <w:tcPr>
            <w:tcW w:w="1751" w:type="dxa"/>
            <w:tcBorders>
              <w:top w:val="single" w:sz="4" w:space="0" w:color="000000"/>
              <w:left w:val="single" w:sz="4" w:space="0" w:color="000000"/>
              <w:bottom w:val="single" w:sz="4" w:space="0" w:color="000000"/>
              <w:right w:val="single" w:sz="4" w:space="0" w:color="000000"/>
            </w:tcBorders>
          </w:tcPr>
          <w:p w14:paraId="4EB58EC8" w14:textId="77777777" w:rsidR="00B82531" w:rsidRPr="00B82531" w:rsidRDefault="00B82531" w:rsidP="00256B0A">
            <w:pPr>
              <w:spacing w:after="0" w:line="259" w:lineRule="auto"/>
              <w:ind w:right="109"/>
              <w:jc w:val="center"/>
              <w:rPr>
                <w:rFonts w:ascii="Times New Roman" w:hAnsi="Times New Roman"/>
                <w:sz w:val="24"/>
                <w:szCs w:val="24"/>
              </w:rPr>
            </w:pPr>
            <w:r w:rsidRPr="00B82531">
              <w:rPr>
                <w:rFonts w:ascii="Times New Roman" w:hAnsi="Times New Roman"/>
                <w:sz w:val="24"/>
                <w:szCs w:val="24"/>
              </w:rPr>
              <w:t xml:space="preserve">Trade Value or </w:t>
            </w:r>
          </w:p>
          <w:p w14:paraId="26336846" w14:textId="77777777" w:rsidR="00B82531" w:rsidRPr="00B82531" w:rsidRDefault="00B82531" w:rsidP="00256B0A">
            <w:pPr>
              <w:spacing w:after="0" w:line="259" w:lineRule="auto"/>
              <w:ind w:left="31" w:firstLine="50"/>
              <w:rPr>
                <w:rFonts w:ascii="Times New Roman" w:hAnsi="Times New Roman"/>
                <w:sz w:val="24"/>
                <w:szCs w:val="24"/>
              </w:rPr>
            </w:pPr>
            <w:r w:rsidRPr="00B82531">
              <w:rPr>
                <w:rFonts w:ascii="Times New Roman" w:hAnsi="Times New Roman"/>
                <w:sz w:val="24"/>
                <w:szCs w:val="24"/>
              </w:rPr>
              <w:t xml:space="preserve">Clearing value of the relevant Financial year </w:t>
            </w:r>
          </w:p>
        </w:tc>
        <w:tc>
          <w:tcPr>
            <w:tcW w:w="1850" w:type="dxa"/>
            <w:tcBorders>
              <w:top w:val="single" w:sz="4" w:space="0" w:color="000000"/>
              <w:left w:val="single" w:sz="4" w:space="0" w:color="000000"/>
              <w:bottom w:val="single" w:sz="4" w:space="0" w:color="000000"/>
              <w:right w:val="single" w:sz="4" w:space="0" w:color="000000"/>
            </w:tcBorders>
          </w:tcPr>
          <w:p w14:paraId="1D34023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Annual Other Charges payable  </w:t>
            </w:r>
          </w:p>
        </w:tc>
        <w:tc>
          <w:tcPr>
            <w:tcW w:w="1552" w:type="dxa"/>
            <w:tcBorders>
              <w:top w:val="single" w:sz="4" w:space="0" w:color="000000"/>
              <w:left w:val="single" w:sz="4" w:space="0" w:color="000000"/>
              <w:bottom w:val="single" w:sz="4" w:space="0" w:color="000000"/>
              <w:right w:val="single" w:sz="4" w:space="0" w:color="000000"/>
            </w:tcBorders>
          </w:tcPr>
          <w:p w14:paraId="6F451DEA"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 xml:space="preserve">Annual Other Charges paid  </w:t>
            </w:r>
          </w:p>
        </w:tc>
        <w:tc>
          <w:tcPr>
            <w:tcW w:w="1556" w:type="dxa"/>
            <w:tcBorders>
              <w:top w:val="single" w:sz="4" w:space="0" w:color="000000"/>
              <w:left w:val="single" w:sz="4" w:space="0" w:color="000000"/>
              <w:bottom w:val="single" w:sz="4" w:space="0" w:color="000000"/>
              <w:right w:val="single" w:sz="4" w:space="0" w:color="000000"/>
            </w:tcBorders>
          </w:tcPr>
          <w:p w14:paraId="49998D79"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Mode of payment</w:t>
            </w:r>
          </w:p>
        </w:tc>
      </w:tr>
      <w:tr w:rsidR="00B82531" w:rsidRPr="00B82531" w14:paraId="2DCC6910" w14:textId="77777777" w:rsidTr="00256B0A">
        <w:trPr>
          <w:trHeight w:val="525"/>
        </w:trPr>
        <w:tc>
          <w:tcPr>
            <w:tcW w:w="2067" w:type="dxa"/>
            <w:tcBorders>
              <w:top w:val="single" w:sz="4" w:space="0" w:color="000000"/>
              <w:left w:val="single" w:sz="4" w:space="0" w:color="000000"/>
              <w:bottom w:val="single" w:sz="4" w:space="0" w:color="000000"/>
              <w:right w:val="single" w:sz="4" w:space="0" w:color="000000"/>
            </w:tcBorders>
          </w:tcPr>
          <w:p w14:paraId="67D30DB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 </w:t>
            </w:r>
          </w:p>
        </w:tc>
        <w:tc>
          <w:tcPr>
            <w:tcW w:w="1751" w:type="dxa"/>
            <w:tcBorders>
              <w:top w:val="single" w:sz="4" w:space="0" w:color="000000"/>
              <w:left w:val="single" w:sz="4" w:space="0" w:color="000000"/>
              <w:bottom w:val="single" w:sz="4" w:space="0" w:color="000000"/>
              <w:right w:val="single" w:sz="4" w:space="0" w:color="000000"/>
            </w:tcBorders>
          </w:tcPr>
          <w:p w14:paraId="26C29614" w14:textId="77777777" w:rsidR="00B82531" w:rsidRPr="00B82531" w:rsidRDefault="00B82531" w:rsidP="00256B0A">
            <w:pPr>
              <w:spacing w:after="0" w:line="259" w:lineRule="auto"/>
              <w:ind w:right="45"/>
              <w:jc w:val="center"/>
              <w:rPr>
                <w:rFonts w:ascii="Times New Roman" w:hAnsi="Times New Roman"/>
                <w:sz w:val="24"/>
                <w:szCs w:val="24"/>
              </w:rPr>
            </w:pPr>
            <w:r w:rsidRPr="00B82531">
              <w:rPr>
                <w:rFonts w:ascii="Times New Roman" w:hAnsi="Times New Roman"/>
                <w:sz w:val="24"/>
                <w:szCs w:val="24"/>
              </w:rP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12043A4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73BCA45" w14:textId="77777777" w:rsidR="00B82531" w:rsidRPr="00B82531" w:rsidRDefault="00B82531" w:rsidP="00256B0A">
            <w:pPr>
              <w:spacing w:after="0" w:line="259" w:lineRule="auto"/>
              <w:ind w:left="267"/>
              <w:jc w:val="center"/>
              <w:rPr>
                <w:rFonts w:ascii="Times New Roman" w:hAnsi="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5BCBA02B" w14:textId="77777777" w:rsidR="00B82531" w:rsidRPr="00B82531" w:rsidRDefault="00B82531" w:rsidP="00256B0A">
            <w:pPr>
              <w:spacing w:after="0" w:line="259" w:lineRule="auto"/>
              <w:ind w:left="267"/>
              <w:jc w:val="center"/>
              <w:rPr>
                <w:rFonts w:ascii="Times New Roman" w:hAnsi="Times New Roman"/>
                <w:sz w:val="24"/>
                <w:szCs w:val="24"/>
              </w:rPr>
            </w:pPr>
            <w:r w:rsidRPr="00B82531">
              <w:rPr>
                <w:rFonts w:ascii="Times New Roman" w:hAnsi="Times New Roman"/>
                <w:sz w:val="24"/>
                <w:szCs w:val="24"/>
              </w:rPr>
              <w:t xml:space="preserve"> </w:t>
            </w:r>
          </w:p>
        </w:tc>
      </w:tr>
      <w:tr w:rsidR="00B82531" w:rsidRPr="00B82531" w14:paraId="50AF301B" w14:textId="77777777" w:rsidTr="00256B0A">
        <w:trPr>
          <w:trHeight w:val="2494"/>
        </w:trPr>
        <w:tc>
          <w:tcPr>
            <w:tcW w:w="2067" w:type="dxa"/>
            <w:tcBorders>
              <w:top w:val="single" w:sz="4" w:space="0" w:color="000000"/>
              <w:left w:val="single" w:sz="4" w:space="0" w:color="000000"/>
              <w:bottom w:val="single" w:sz="4" w:space="0" w:color="000000"/>
              <w:right w:val="single" w:sz="4" w:space="0" w:color="000000"/>
            </w:tcBorders>
          </w:tcPr>
          <w:p w14:paraId="15E763AE"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Details of remittance:</w:t>
            </w:r>
          </w:p>
          <w:p w14:paraId="68E7CE05"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Demand Draft or pay order No. and date or </w:t>
            </w:r>
          </w:p>
          <w:p w14:paraId="1FD77E6B"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Ref No. and date of </w:t>
            </w:r>
          </w:p>
          <w:p w14:paraId="2919983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Electronic payment, Bank and branch at which payable and Amount in Rs.</w:t>
            </w:r>
          </w:p>
        </w:tc>
        <w:tc>
          <w:tcPr>
            <w:tcW w:w="3601" w:type="dxa"/>
            <w:gridSpan w:val="2"/>
            <w:tcBorders>
              <w:top w:val="single" w:sz="4" w:space="0" w:color="000000"/>
              <w:left w:val="single" w:sz="4" w:space="0" w:color="000000"/>
              <w:bottom w:val="single" w:sz="4" w:space="0" w:color="000000"/>
              <w:right w:val="nil"/>
            </w:tcBorders>
          </w:tcPr>
          <w:p w14:paraId="55F1BC3D" w14:textId="77777777" w:rsidR="00B82531" w:rsidRPr="00B82531" w:rsidRDefault="00B82531" w:rsidP="00256B0A">
            <w:pPr>
              <w:spacing w:after="0" w:line="259" w:lineRule="auto"/>
              <w:ind w:left="2345"/>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nil"/>
              <w:bottom w:val="single" w:sz="4" w:space="0" w:color="000000"/>
              <w:right w:val="nil"/>
            </w:tcBorders>
          </w:tcPr>
          <w:p w14:paraId="35CF61D4"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6FE8CA8B" w14:textId="77777777" w:rsidR="00B82531" w:rsidRPr="00B82531" w:rsidRDefault="00B82531" w:rsidP="00256B0A">
            <w:pPr>
              <w:spacing w:after="160" w:line="259" w:lineRule="auto"/>
              <w:rPr>
                <w:rFonts w:ascii="Times New Roman" w:hAnsi="Times New Roman"/>
                <w:sz w:val="24"/>
                <w:szCs w:val="24"/>
              </w:rPr>
            </w:pPr>
          </w:p>
        </w:tc>
      </w:tr>
    </w:tbl>
    <w:p w14:paraId="2643C815" w14:textId="77777777" w:rsidR="00DE6176" w:rsidRDefault="00DE6176" w:rsidP="00B82531">
      <w:pPr>
        <w:spacing w:after="0" w:line="360" w:lineRule="auto"/>
        <w:rPr>
          <w:rFonts w:ascii="Times New Roman" w:hAnsi="Times New Roman"/>
          <w:b/>
          <w:sz w:val="24"/>
          <w:szCs w:val="24"/>
          <w:u w:val="single"/>
        </w:rPr>
      </w:pPr>
    </w:p>
    <w:p w14:paraId="1BF34285" w14:textId="03842F44" w:rsidR="00DE6176" w:rsidRDefault="00B82531" w:rsidP="00DE6176">
      <w:pPr>
        <w:spacing w:after="0" w:line="360" w:lineRule="auto"/>
        <w:jc w:val="right"/>
        <w:rPr>
          <w:rFonts w:ascii="Times New Roman" w:hAnsi="Times New Roman"/>
          <w:b/>
          <w:sz w:val="24"/>
          <w:szCs w:val="24"/>
          <w:u w:val="single"/>
        </w:rPr>
      </w:pPr>
      <w:r>
        <w:rPr>
          <w:rFonts w:ascii="Times New Roman" w:hAnsi="Times New Roman"/>
          <w:b/>
          <w:sz w:val="24"/>
          <w:szCs w:val="24"/>
          <w:u w:val="single"/>
        </w:rPr>
        <w:t>]</w:t>
      </w:r>
    </w:p>
    <w:p w14:paraId="60FF3C45" w14:textId="77777777" w:rsidR="00B82531" w:rsidRDefault="00B82531" w:rsidP="00DE6176">
      <w:pPr>
        <w:spacing w:after="0" w:line="360" w:lineRule="auto"/>
        <w:jc w:val="right"/>
        <w:rPr>
          <w:rFonts w:ascii="Times New Roman" w:hAnsi="Times New Roman"/>
          <w:b/>
          <w:sz w:val="24"/>
          <w:szCs w:val="24"/>
          <w:u w:val="single"/>
        </w:rPr>
      </w:pPr>
    </w:p>
    <w:p w14:paraId="42BB3BEE" w14:textId="77777777" w:rsidR="00B82531" w:rsidRDefault="00B82531" w:rsidP="00DE6176">
      <w:pPr>
        <w:spacing w:after="0" w:line="360" w:lineRule="auto"/>
        <w:jc w:val="right"/>
        <w:rPr>
          <w:rFonts w:ascii="Times New Roman" w:hAnsi="Times New Roman"/>
          <w:b/>
          <w:sz w:val="24"/>
          <w:szCs w:val="24"/>
          <w:u w:val="single"/>
        </w:rPr>
      </w:pPr>
    </w:p>
    <w:p w14:paraId="563687BE" w14:textId="77777777" w:rsidR="00B82531" w:rsidRDefault="00B82531" w:rsidP="00DE6176">
      <w:pPr>
        <w:spacing w:after="0" w:line="360" w:lineRule="auto"/>
        <w:jc w:val="right"/>
        <w:rPr>
          <w:rFonts w:ascii="Times New Roman" w:hAnsi="Times New Roman"/>
          <w:b/>
          <w:sz w:val="24"/>
          <w:szCs w:val="24"/>
          <w:u w:val="single"/>
        </w:rPr>
      </w:pPr>
    </w:p>
    <w:p w14:paraId="4A8C4E47" w14:textId="77777777" w:rsidR="00B82531" w:rsidRDefault="00B82531" w:rsidP="00DE6176">
      <w:pPr>
        <w:spacing w:after="0" w:line="360" w:lineRule="auto"/>
        <w:jc w:val="right"/>
        <w:rPr>
          <w:rFonts w:ascii="Times New Roman" w:hAnsi="Times New Roman"/>
          <w:b/>
          <w:sz w:val="24"/>
          <w:szCs w:val="24"/>
          <w:u w:val="single"/>
        </w:rPr>
      </w:pPr>
    </w:p>
    <w:p w14:paraId="42141BD4" w14:textId="77777777" w:rsidR="00B82531" w:rsidRDefault="00B82531" w:rsidP="00DE6176">
      <w:pPr>
        <w:spacing w:after="0" w:line="360" w:lineRule="auto"/>
        <w:jc w:val="right"/>
        <w:rPr>
          <w:rFonts w:ascii="Times New Roman" w:hAnsi="Times New Roman"/>
          <w:b/>
          <w:sz w:val="24"/>
          <w:szCs w:val="24"/>
          <w:u w:val="single"/>
        </w:rPr>
      </w:pPr>
    </w:p>
    <w:p w14:paraId="7A8365B9" w14:textId="77777777" w:rsidR="00B82531" w:rsidRDefault="00B82531" w:rsidP="00DE6176">
      <w:pPr>
        <w:spacing w:after="0" w:line="360" w:lineRule="auto"/>
        <w:jc w:val="right"/>
        <w:rPr>
          <w:rFonts w:ascii="Times New Roman" w:hAnsi="Times New Roman"/>
          <w:b/>
          <w:sz w:val="24"/>
          <w:szCs w:val="24"/>
          <w:u w:val="single"/>
        </w:rPr>
      </w:pPr>
    </w:p>
    <w:p w14:paraId="13CDFC3D" w14:textId="77777777" w:rsidR="00B82531" w:rsidRDefault="00B82531" w:rsidP="00DE6176">
      <w:pPr>
        <w:spacing w:after="0" w:line="360" w:lineRule="auto"/>
        <w:jc w:val="right"/>
        <w:rPr>
          <w:rFonts w:ascii="Times New Roman" w:hAnsi="Times New Roman"/>
          <w:b/>
          <w:sz w:val="24"/>
          <w:szCs w:val="24"/>
          <w:u w:val="single"/>
        </w:rPr>
      </w:pPr>
    </w:p>
    <w:p w14:paraId="52DC605C" w14:textId="77777777" w:rsidR="00B82531" w:rsidRDefault="00B82531" w:rsidP="00DE6176">
      <w:pPr>
        <w:spacing w:after="0" w:line="360" w:lineRule="auto"/>
        <w:jc w:val="right"/>
        <w:rPr>
          <w:rFonts w:ascii="Times New Roman" w:hAnsi="Times New Roman"/>
          <w:b/>
          <w:sz w:val="24"/>
          <w:szCs w:val="24"/>
          <w:u w:val="single"/>
        </w:rPr>
      </w:pPr>
    </w:p>
    <w:p w14:paraId="4DD4255C" w14:textId="77777777" w:rsidR="00B82531" w:rsidRDefault="00B82531" w:rsidP="00DE6176">
      <w:pPr>
        <w:spacing w:after="0" w:line="360" w:lineRule="auto"/>
        <w:jc w:val="right"/>
        <w:rPr>
          <w:rFonts w:ascii="Times New Roman" w:hAnsi="Times New Roman"/>
          <w:b/>
          <w:sz w:val="24"/>
          <w:szCs w:val="24"/>
          <w:u w:val="single"/>
        </w:rPr>
      </w:pPr>
    </w:p>
    <w:p w14:paraId="3E3F9B5B" w14:textId="77777777" w:rsidR="00B82531" w:rsidRDefault="00B82531" w:rsidP="00DE6176">
      <w:pPr>
        <w:spacing w:after="0" w:line="360" w:lineRule="auto"/>
        <w:jc w:val="right"/>
        <w:rPr>
          <w:rFonts w:ascii="Times New Roman" w:hAnsi="Times New Roman"/>
          <w:b/>
          <w:sz w:val="24"/>
          <w:szCs w:val="24"/>
          <w:u w:val="single"/>
        </w:rPr>
      </w:pPr>
    </w:p>
    <w:p w14:paraId="0676920D" w14:textId="2C4CDEA6" w:rsidR="00DE6176" w:rsidRPr="00943749" w:rsidRDefault="00DE6176" w:rsidP="00DE6176">
      <w:pPr>
        <w:spacing w:after="0" w:line="360" w:lineRule="auto"/>
        <w:jc w:val="right"/>
        <w:rPr>
          <w:rFonts w:ascii="Times New Roman" w:hAnsi="Times New Roman"/>
          <w:b/>
          <w:sz w:val="24"/>
          <w:szCs w:val="24"/>
          <w:u w:val="single"/>
        </w:rPr>
      </w:pPr>
      <w:r w:rsidRPr="00943749">
        <w:rPr>
          <w:rFonts w:ascii="Times New Roman" w:hAnsi="Times New Roman"/>
          <w:b/>
          <w:sz w:val="24"/>
          <w:szCs w:val="24"/>
          <w:u w:val="single"/>
        </w:rPr>
        <w:lastRenderedPageBreak/>
        <w:t>Annexure A</w:t>
      </w:r>
    </w:p>
    <w:p w14:paraId="0DCDB5BF" w14:textId="77777777" w:rsidR="00DE6176" w:rsidRPr="00943749" w:rsidRDefault="00DE6176" w:rsidP="00DE6176">
      <w:pPr>
        <w:spacing w:after="0" w:line="360" w:lineRule="auto"/>
        <w:jc w:val="right"/>
        <w:rPr>
          <w:rFonts w:ascii="Times New Roman" w:hAnsi="Times New Roman"/>
          <w:b/>
          <w:sz w:val="24"/>
          <w:szCs w:val="24"/>
        </w:rPr>
      </w:pPr>
    </w:p>
    <w:p w14:paraId="27C21CA2" w14:textId="77777777" w:rsidR="00DE6176" w:rsidRPr="00943749" w:rsidRDefault="00DE6176" w:rsidP="00DE6176">
      <w:pPr>
        <w:spacing w:after="0" w:line="360" w:lineRule="auto"/>
        <w:jc w:val="center"/>
        <w:rPr>
          <w:rFonts w:ascii="Times New Roman" w:hAnsi="Times New Roman"/>
          <w:sz w:val="24"/>
          <w:szCs w:val="24"/>
        </w:rPr>
      </w:pPr>
      <w:r w:rsidRPr="00943749">
        <w:rPr>
          <w:rFonts w:ascii="Times New Roman" w:hAnsi="Times New Roman"/>
          <w:b/>
          <w:sz w:val="24"/>
          <w:szCs w:val="24"/>
        </w:rPr>
        <w:t>EXPLANATORY MEMORANDUM</w:t>
      </w:r>
    </w:p>
    <w:p w14:paraId="5CD127D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Clause (g) of Sub-section (2) of Section 61 of the Petroleum and Natural Gas Regulatory Board Act, 2006 empowers the Board to levy fee and other charges at such rates and in respect of such services as may be determined by regulations.</w:t>
      </w:r>
    </w:p>
    <w:p w14:paraId="5EF1B399"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In view of the powers conferred under the Act, the Board has decided to levy fee and other charges for various service/activities as provided for under the Act and hence these regulations.</w:t>
      </w:r>
    </w:p>
    <w:p w14:paraId="7983EEA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The levy of fee has been necessitated on account of the fact that scrutiny of such a large number of applications and the process associated with them pertaining to registration, authorization, complaints etc. by the Board puts pressure on scarce regulatory resources available.</w:t>
      </w:r>
    </w:p>
    <w:p w14:paraId="5566DF4C" w14:textId="66DD5525" w:rsidR="00DE6176" w:rsidRDefault="00DE6176" w:rsidP="00DE6176">
      <w:pPr>
        <w:numPr>
          <w:ilvl w:val="0"/>
          <w:numId w:val="3"/>
        </w:numPr>
        <w:spacing w:after="0" w:line="360" w:lineRule="auto"/>
        <w:jc w:val="both"/>
        <w:rPr>
          <w:rFonts w:ascii="Times New Roman" w:hAnsi="Times New Roman"/>
          <w:sz w:val="24"/>
          <w:szCs w:val="24"/>
        </w:rPr>
      </w:pPr>
      <w:r w:rsidRPr="00CA2B80">
        <w:rPr>
          <w:rFonts w:ascii="Times New Roman" w:hAnsi="Times New Roman"/>
          <w:sz w:val="24"/>
          <w:szCs w:val="24"/>
        </w:rPr>
        <w:t>In addition to levy of fee, the Board is also required to determine through regulations the level of “other charges” that will be charged from entities for various functions to be discharged by under Section 11 of the Act. The Board is required to regulate the refilling, processing, storage, transportation, distribution, marketing and sale of petroleum, petroleum products and natural gas as to protect the interests of the consumers and entities and to ensure uninterrupted and adequate supply of the specified items in all parts of the country and to promote competitive markets as well. The industry overseen by the Board is vast and varied in nature, covering as of now over 10,000 km of product pipelines, over 6000 km of natural gas pipelines and a number of city gas distribution networks, 19 refineries, 2 LNG terminals, over 300 storage terminals/depots, around 200 LPG bottling plants, around 32,000 retail outlets, over 100 aviation fuelling stations, over 6000 ke</w:t>
      </w:r>
      <w:r>
        <w:rPr>
          <w:rFonts w:ascii="Times New Roman" w:hAnsi="Times New Roman"/>
          <w:sz w:val="24"/>
          <w:szCs w:val="24"/>
        </w:rPr>
        <w:t xml:space="preserve">rosene dealers, over 9,000 LPG </w:t>
      </w:r>
      <w:r w:rsidRPr="00CA2B80">
        <w:rPr>
          <w:rFonts w:ascii="Times New Roman" w:hAnsi="Times New Roman"/>
          <w:sz w:val="24"/>
          <w:szCs w:val="24"/>
        </w:rPr>
        <w:t xml:space="preserve">distributorships, etc. Considering the limitation on the available resources for the purpose of overseeing this industry, the Board has also decided to levy “other charges” for discharging its vast and varied functions. </w:t>
      </w:r>
    </w:p>
    <w:p w14:paraId="54185A96" w14:textId="77777777" w:rsidR="0022599F" w:rsidRPr="0022599F" w:rsidRDefault="0022599F" w:rsidP="0022599F">
      <w:pPr>
        <w:spacing w:after="0" w:line="360" w:lineRule="auto"/>
        <w:ind w:left="720"/>
        <w:jc w:val="both"/>
        <w:rPr>
          <w:rFonts w:ascii="Times New Roman" w:hAnsi="Times New Roman"/>
          <w:sz w:val="6"/>
          <w:szCs w:val="6"/>
        </w:rPr>
      </w:pPr>
    </w:p>
    <w:p w14:paraId="7D25C0D4" w14:textId="2995FB78" w:rsidR="00FE697D" w:rsidRPr="005A5FA4" w:rsidRDefault="00DE6176" w:rsidP="005A5FA4">
      <w:pPr>
        <w:spacing w:after="0" w:line="240" w:lineRule="auto"/>
        <w:ind w:left="1560" w:hanging="1276"/>
        <w:jc w:val="both"/>
        <w:rPr>
          <w:rFonts w:ascii="Times New Roman" w:hAnsi="Times New Roman"/>
          <w:sz w:val="24"/>
          <w:szCs w:val="24"/>
        </w:rPr>
      </w:pPr>
      <w:r w:rsidRPr="000B73FF">
        <w:rPr>
          <w:rFonts w:ascii="Times New Roman" w:hAnsi="Times New Roman"/>
          <w:b/>
          <w:bCs/>
          <w:sz w:val="24"/>
          <w:szCs w:val="24"/>
        </w:rPr>
        <w:t>Foot Note:</w:t>
      </w:r>
      <w:r>
        <w:rPr>
          <w:rFonts w:ascii="Times New Roman" w:hAnsi="Times New Roman"/>
          <w:sz w:val="24"/>
          <w:szCs w:val="24"/>
        </w:rPr>
        <w:t xml:space="preserve"> The Principal regulations were notified </w:t>
      </w:r>
      <w:r w:rsidRPr="00CA2B80">
        <w:rPr>
          <w:rFonts w:ascii="Times New Roman" w:hAnsi="Times New Roman"/>
          <w:i/>
          <w:iCs/>
          <w:sz w:val="24"/>
          <w:szCs w:val="24"/>
        </w:rPr>
        <w:t>vide</w:t>
      </w:r>
      <w:r w:rsidR="00901B98">
        <w:rPr>
          <w:rFonts w:ascii="Times New Roman" w:hAnsi="Times New Roman"/>
          <w:i/>
          <w:iCs/>
          <w:sz w:val="24"/>
          <w:szCs w:val="24"/>
        </w:rPr>
        <w:t xml:space="preserve"> </w:t>
      </w:r>
      <w:r>
        <w:rPr>
          <w:rFonts w:ascii="Times New Roman" w:hAnsi="Times New Roman"/>
          <w:sz w:val="24"/>
          <w:szCs w:val="24"/>
        </w:rPr>
        <w:t>No. G.S.R. 732 (E), dated 26</w:t>
      </w:r>
      <w:r w:rsidRPr="000B73FF">
        <w:rPr>
          <w:rFonts w:ascii="Times New Roman" w:hAnsi="Times New Roman"/>
          <w:sz w:val="24"/>
          <w:szCs w:val="24"/>
          <w:vertAlign w:val="superscript"/>
        </w:rPr>
        <w:t>th</w:t>
      </w:r>
      <w:r>
        <w:rPr>
          <w:rFonts w:ascii="Times New Roman" w:hAnsi="Times New Roman"/>
          <w:sz w:val="24"/>
          <w:szCs w:val="24"/>
        </w:rPr>
        <w:t xml:space="preserve"> November, 2007 and amended vide G.S.R. 477 (E) dated 7</w:t>
      </w:r>
      <w:r w:rsidRPr="00704668">
        <w:rPr>
          <w:rFonts w:ascii="Times New Roman" w:hAnsi="Times New Roman"/>
          <w:sz w:val="24"/>
          <w:szCs w:val="24"/>
          <w:vertAlign w:val="superscript"/>
        </w:rPr>
        <w:t>th</w:t>
      </w:r>
      <w:r>
        <w:rPr>
          <w:rFonts w:ascii="Times New Roman" w:hAnsi="Times New Roman"/>
          <w:sz w:val="24"/>
          <w:szCs w:val="24"/>
        </w:rPr>
        <w:t xml:space="preserve"> June, 2010 and F. No. Legal/50/2013, dated the 21</w:t>
      </w:r>
      <w:r w:rsidRPr="00BF47E0">
        <w:rPr>
          <w:rFonts w:ascii="Times New Roman" w:hAnsi="Times New Roman"/>
          <w:sz w:val="24"/>
          <w:szCs w:val="24"/>
          <w:vertAlign w:val="superscript"/>
        </w:rPr>
        <w:t>st</w:t>
      </w:r>
      <w:r>
        <w:rPr>
          <w:rFonts w:ascii="Times New Roman" w:hAnsi="Times New Roman"/>
          <w:sz w:val="24"/>
          <w:szCs w:val="24"/>
        </w:rPr>
        <w:t xml:space="preserve"> June, 2013 and F. No. PNGRB/F&amp;C/Amendment PNGRB Regulations, dated 03</w:t>
      </w:r>
      <w:r w:rsidRPr="0041018A">
        <w:rPr>
          <w:rFonts w:ascii="Times New Roman" w:hAnsi="Times New Roman"/>
          <w:sz w:val="24"/>
          <w:szCs w:val="24"/>
          <w:vertAlign w:val="superscript"/>
        </w:rPr>
        <w:t>rd</w:t>
      </w:r>
      <w:r>
        <w:rPr>
          <w:rFonts w:ascii="Times New Roman" w:hAnsi="Times New Roman"/>
          <w:sz w:val="24"/>
          <w:szCs w:val="24"/>
        </w:rPr>
        <w:t xml:space="preserve"> January, 2019 and F. No. PNGRB/Fin./8-OC(1)/2018, dated 13</w:t>
      </w:r>
      <w:r w:rsidRPr="00A61640">
        <w:rPr>
          <w:rFonts w:ascii="Times New Roman" w:hAnsi="Times New Roman"/>
          <w:sz w:val="24"/>
          <w:szCs w:val="24"/>
          <w:vertAlign w:val="superscript"/>
        </w:rPr>
        <w:t>th</w:t>
      </w:r>
      <w:r>
        <w:rPr>
          <w:rFonts w:ascii="Times New Roman" w:hAnsi="Times New Roman"/>
          <w:sz w:val="24"/>
          <w:szCs w:val="24"/>
        </w:rPr>
        <w:t xml:space="preserve"> May, 2020</w:t>
      </w:r>
      <w:r w:rsidR="00B2493C">
        <w:rPr>
          <w:rFonts w:ascii="Times New Roman" w:hAnsi="Times New Roman"/>
          <w:sz w:val="24"/>
          <w:szCs w:val="24"/>
        </w:rPr>
        <w:t xml:space="preserve">, </w:t>
      </w:r>
      <w:r w:rsidR="00B82531" w:rsidRPr="00B82531">
        <w:rPr>
          <w:rFonts w:ascii="Times New Roman" w:hAnsi="Times New Roman"/>
          <w:sz w:val="24"/>
          <w:szCs w:val="24"/>
        </w:rPr>
        <w:t>PNGRB/Fin/8-OC(1)/2018(P-836)</w:t>
      </w:r>
      <w:r w:rsidR="00B82531">
        <w:rPr>
          <w:rFonts w:ascii="Times New Roman" w:hAnsi="Times New Roman"/>
          <w:sz w:val="24"/>
          <w:szCs w:val="24"/>
        </w:rPr>
        <w:t xml:space="preserve"> dated 28</w:t>
      </w:r>
      <w:r w:rsidR="00B82531" w:rsidRPr="00B82531">
        <w:rPr>
          <w:rFonts w:ascii="Times New Roman" w:hAnsi="Times New Roman"/>
          <w:sz w:val="24"/>
          <w:szCs w:val="24"/>
          <w:vertAlign w:val="superscript"/>
        </w:rPr>
        <w:t>th</w:t>
      </w:r>
      <w:r w:rsidR="00B82531">
        <w:rPr>
          <w:rFonts w:ascii="Times New Roman" w:hAnsi="Times New Roman"/>
          <w:sz w:val="24"/>
          <w:szCs w:val="24"/>
        </w:rPr>
        <w:t xml:space="preserve"> September, 2020</w:t>
      </w:r>
      <w:r w:rsidR="00510820">
        <w:rPr>
          <w:rFonts w:ascii="Times New Roman" w:hAnsi="Times New Roman"/>
          <w:sz w:val="24"/>
          <w:szCs w:val="24"/>
        </w:rPr>
        <w:t xml:space="preserve">, </w:t>
      </w:r>
      <w:r w:rsidR="00B2493C" w:rsidRPr="00B2493C">
        <w:rPr>
          <w:rFonts w:ascii="Times New Roman" w:hAnsi="Times New Roman"/>
          <w:sz w:val="24"/>
          <w:szCs w:val="24"/>
        </w:rPr>
        <w:t>PNGRB/Fin/8-OC (2)/2018 (P-3270)</w:t>
      </w:r>
      <w:r w:rsidR="00B2493C">
        <w:rPr>
          <w:rFonts w:ascii="Times New Roman" w:hAnsi="Times New Roman"/>
          <w:sz w:val="24"/>
          <w:szCs w:val="24"/>
        </w:rPr>
        <w:t xml:space="preserve"> dated 27</w:t>
      </w:r>
      <w:r w:rsidR="00B2493C" w:rsidRPr="00B2493C">
        <w:rPr>
          <w:rFonts w:ascii="Times New Roman" w:hAnsi="Times New Roman"/>
          <w:sz w:val="24"/>
          <w:szCs w:val="24"/>
          <w:vertAlign w:val="superscript"/>
        </w:rPr>
        <w:t>th</w:t>
      </w:r>
      <w:r w:rsidR="00B2493C">
        <w:rPr>
          <w:rFonts w:ascii="Times New Roman" w:hAnsi="Times New Roman"/>
          <w:sz w:val="24"/>
          <w:szCs w:val="24"/>
        </w:rPr>
        <w:t xml:space="preserve"> August, 2021</w:t>
      </w:r>
      <w:r w:rsidR="00510820">
        <w:rPr>
          <w:rFonts w:ascii="Times New Roman" w:hAnsi="Times New Roman"/>
          <w:sz w:val="24"/>
          <w:szCs w:val="24"/>
        </w:rPr>
        <w:t xml:space="preserve"> </w:t>
      </w:r>
      <w:r w:rsidR="00510820" w:rsidRPr="005A5FA4">
        <w:rPr>
          <w:rFonts w:ascii="Times New Roman" w:hAnsi="Times New Roman"/>
          <w:sz w:val="24"/>
          <w:szCs w:val="24"/>
        </w:rPr>
        <w:t xml:space="preserve">PNGRB/Fin/8-OC(1)/2018 (P-3264) dated </w:t>
      </w:r>
      <w:r w:rsidR="00510820" w:rsidRPr="005A5FA4">
        <w:rPr>
          <w:rFonts w:ascii="Times New Roman" w:hAnsi="Times New Roman"/>
          <w:sz w:val="24"/>
          <w:szCs w:val="24"/>
        </w:rPr>
        <w:lastRenderedPageBreak/>
        <w:t>2</w:t>
      </w:r>
      <w:r w:rsidR="005A5FA4" w:rsidRPr="005A5FA4">
        <w:rPr>
          <w:rFonts w:ascii="Times New Roman" w:hAnsi="Times New Roman"/>
          <w:sz w:val="24"/>
          <w:szCs w:val="24"/>
          <w:vertAlign w:val="superscript"/>
        </w:rPr>
        <w:t>nd</w:t>
      </w:r>
      <w:r w:rsidR="005A5FA4">
        <w:rPr>
          <w:rFonts w:ascii="Times New Roman" w:hAnsi="Times New Roman"/>
          <w:sz w:val="24"/>
          <w:szCs w:val="24"/>
        </w:rPr>
        <w:t xml:space="preserve"> August, 2022</w:t>
      </w:r>
      <w:r w:rsidR="00AF621A" w:rsidRPr="00AF621A">
        <w:rPr>
          <w:rFonts w:ascii="Times New Roman" w:hAnsi="Times New Roman"/>
          <w:sz w:val="24"/>
          <w:szCs w:val="24"/>
        </w:rPr>
        <w:t xml:space="preserve"> </w:t>
      </w:r>
      <w:r w:rsidR="00AF621A">
        <w:rPr>
          <w:rFonts w:ascii="Times New Roman" w:hAnsi="Times New Roman"/>
          <w:sz w:val="24"/>
          <w:szCs w:val="24"/>
        </w:rPr>
        <w:t>and</w:t>
      </w:r>
      <w:r w:rsidR="00AF621A">
        <w:rPr>
          <w:rFonts w:ascii="Times New Roman" w:hAnsi="Times New Roman"/>
          <w:sz w:val="24"/>
          <w:szCs w:val="24"/>
        </w:rPr>
        <w:t xml:space="preserve"> </w:t>
      </w:r>
      <w:r w:rsidR="00AF621A" w:rsidRPr="00AF621A">
        <w:rPr>
          <w:rFonts w:ascii="Times New Roman" w:hAnsi="Times New Roman"/>
          <w:sz w:val="24"/>
          <w:szCs w:val="24"/>
        </w:rPr>
        <w:t>PNGRB/Fin/8-OC(1)/2018 (P-3264</w:t>
      </w:r>
      <w:r w:rsidR="00AF621A">
        <w:rPr>
          <w:rFonts w:ascii="Times New Roman" w:hAnsi="Times New Roman"/>
          <w:sz w:val="24"/>
          <w:szCs w:val="24"/>
        </w:rPr>
        <w:t>) dated 14</w:t>
      </w:r>
      <w:r w:rsidR="00AF621A" w:rsidRPr="00AF621A">
        <w:rPr>
          <w:rFonts w:ascii="Times New Roman" w:hAnsi="Times New Roman"/>
          <w:sz w:val="24"/>
          <w:szCs w:val="24"/>
          <w:vertAlign w:val="superscript"/>
        </w:rPr>
        <w:t>th</w:t>
      </w:r>
      <w:r w:rsidR="00AF621A">
        <w:rPr>
          <w:rFonts w:ascii="Times New Roman" w:hAnsi="Times New Roman"/>
          <w:sz w:val="24"/>
          <w:szCs w:val="24"/>
        </w:rPr>
        <w:t xml:space="preserve"> July 2025</w:t>
      </w:r>
      <w:r w:rsidR="005A5FA4">
        <w:rPr>
          <w:rFonts w:ascii="Times New Roman" w:hAnsi="Times New Roman"/>
          <w:sz w:val="24"/>
          <w:szCs w:val="24"/>
        </w:rPr>
        <w:t>.</w:t>
      </w:r>
    </w:p>
    <w:sectPr w:rsidR="00FE697D" w:rsidRPr="005A5FA4" w:rsidSect="00DA32B0">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8626" w14:textId="77777777" w:rsidR="0079151D" w:rsidRDefault="0079151D" w:rsidP="00DE6176">
      <w:pPr>
        <w:spacing w:after="0" w:line="240" w:lineRule="auto"/>
      </w:pPr>
      <w:r>
        <w:separator/>
      </w:r>
    </w:p>
  </w:endnote>
  <w:endnote w:type="continuationSeparator" w:id="0">
    <w:p w14:paraId="0E61DD2E" w14:textId="77777777" w:rsidR="0079151D" w:rsidRDefault="0079151D" w:rsidP="00DE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7C46" w14:textId="116F0EE2" w:rsidR="00000000" w:rsidRDefault="00B82531">
    <w:pPr>
      <w:pStyle w:val="Footer"/>
      <w:jc w:val="right"/>
    </w:pPr>
    <w:r>
      <w:fldChar w:fldCharType="begin"/>
    </w:r>
    <w:r>
      <w:instrText xml:space="preserve"> PAGE   \* MERGEFORMAT </w:instrText>
    </w:r>
    <w:r>
      <w:fldChar w:fldCharType="separate"/>
    </w:r>
    <w:r w:rsidR="0022599F">
      <w:rPr>
        <w:noProof/>
      </w:rPr>
      <w:t>10</w:t>
    </w:r>
    <w:r>
      <w:rPr>
        <w:noProof/>
      </w:rPr>
      <w:fldChar w:fldCharType="end"/>
    </w:r>
  </w:p>
  <w:p w14:paraId="6F9E4E9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EBD6" w14:textId="77777777" w:rsidR="0079151D" w:rsidRDefault="0079151D" w:rsidP="00DE6176">
      <w:pPr>
        <w:spacing w:after="0" w:line="240" w:lineRule="auto"/>
      </w:pPr>
      <w:r>
        <w:separator/>
      </w:r>
    </w:p>
  </w:footnote>
  <w:footnote w:type="continuationSeparator" w:id="0">
    <w:p w14:paraId="47886939" w14:textId="77777777" w:rsidR="0079151D" w:rsidRDefault="0079151D" w:rsidP="00DE6176">
      <w:pPr>
        <w:spacing w:after="0" w:line="240" w:lineRule="auto"/>
      </w:pPr>
      <w:r>
        <w:continuationSeparator/>
      </w:r>
    </w:p>
  </w:footnote>
  <w:footnote w:id="1">
    <w:p w14:paraId="0BA4AA6C" w14:textId="6EB0360A" w:rsidR="00DE6176" w:rsidRPr="003A70C8" w:rsidRDefault="00DE6176" w:rsidP="005D3C13">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sub reg. (a) of reg. 2, the Petroleum and Natural Gas Regulatory Board (Levy of Fee and Other Charges) Second Amendment Regulations, 2020 (w.e.f. 28.09.2020).</w:t>
      </w:r>
    </w:p>
  </w:footnote>
  <w:footnote w:id="2">
    <w:p w14:paraId="41715BBA" w14:textId="77777777" w:rsidR="00DE6176" w:rsidRPr="003A70C8" w:rsidRDefault="00DE6176" w:rsidP="005D3C13">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Subs. by sub reg. (a) of reg. 2, the Petroleum and Natural Gas Regulatory Board (Levy of Fee and Other Charges) Amendment Regulations, 2019 (w.e.f. 03.01.2019). </w:t>
      </w:r>
      <w:r w:rsidRPr="003A70C8">
        <w:rPr>
          <w:rFonts w:ascii="Times New Roman" w:hAnsi="Times New Roman"/>
          <w:i/>
          <w:iCs/>
        </w:rPr>
        <w:t>[Earlier, also substituted by the Petroleum and Natural Gas Regulatory Board (Levy of Fee and Other Charges) Amendment Regulations. 2010&amp;the Petroleum and Natural Gas Regulatory Board (Levy of Fee and Other Charges) Amendment Regulations. 2013, respectively]</w:t>
      </w:r>
      <w:r w:rsidRPr="003A70C8">
        <w:rPr>
          <w:rFonts w:ascii="Times New Roman" w:hAnsi="Times New Roman"/>
        </w:rPr>
        <w:t>.</w:t>
      </w:r>
    </w:p>
  </w:footnote>
  <w:footnote w:id="3">
    <w:p w14:paraId="51916F4E" w14:textId="48B1573C" w:rsidR="00DE6176" w:rsidRPr="003A70C8" w:rsidRDefault="00DE6176" w:rsidP="005D3C13">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Cl (</w:t>
      </w:r>
      <w:proofErr w:type="spellStart"/>
      <w:r w:rsidRPr="003A70C8">
        <w:rPr>
          <w:rFonts w:ascii="Times New Roman" w:hAnsi="Times New Roman"/>
        </w:rPr>
        <w:t>i</w:t>
      </w:r>
      <w:proofErr w:type="spellEnd"/>
      <w:r w:rsidRPr="003A70C8">
        <w:rPr>
          <w:rFonts w:ascii="Times New Roman" w:hAnsi="Times New Roman"/>
        </w:rPr>
        <w:t>) of sub reg. (b) of reg. 2, Supra 1 (w.e.f. 28.09.2020).</w:t>
      </w:r>
    </w:p>
  </w:footnote>
  <w:footnote w:id="4">
    <w:p w14:paraId="2F906AC2" w14:textId="21B40ECC" w:rsidR="00DE6176" w:rsidRPr="003A70C8" w:rsidRDefault="00DE6176" w:rsidP="005D3C13">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Subs. by sub-cl (A) of Cl (ii) of sub reg. (b) of reg. 2, Supra 1 (w.e.f. 28.09.2020).</w:t>
      </w:r>
    </w:p>
  </w:footnote>
  <w:footnote w:id="5">
    <w:p w14:paraId="661D3930" w14:textId="00996133" w:rsidR="00C64B8E" w:rsidRPr="005A5FA4" w:rsidRDefault="00C64B8E" w:rsidP="005D3C13">
      <w:pPr>
        <w:pStyle w:val="FootnoteText"/>
        <w:jc w:val="both"/>
        <w:rPr>
          <w:rFonts w:ascii="Times New Roman" w:hAnsi="Times New Roman"/>
        </w:rPr>
      </w:pPr>
      <w:r w:rsidRPr="005A5FA4">
        <w:rPr>
          <w:rStyle w:val="FootnoteReference"/>
          <w:rFonts w:ascii="Times New Roman" w:hAnsi="Times New Roman"/>
        </w:rPr>
        <w:footnoteRef/>
      </w:r>
      <w:r w:rsidRPr="005A5FA4">
        <w:rPr>
          <w:rFonts w:ascii="Times New Roman" w:hAnsi="Times New Roman"/>
        </w:rPr>
        <w:t xml:space="preserve"> Ins. by Cl. (</w:t>
      </w:r>
      <w:proofErr w:type="spellStart"/>
      <w:r w:rsidRPr="005A5FA4">
        <w:rPr>
          <w:rFonts w:ascii="Times New Roman" w:hAnsi="Times New Roman"/>
        </w:rPr>
        <w:t>i</w:t>
      </w:r>
      <w:proofErr w:type="spellEnd"/>
      <w:r w:rsidRPr="005A5FA4">
        <w:rPr>
          <w:rFonts w:ascii="Times New Roman" w:hAnsi="Times New Roman"/>
        </w:rPr>
        <w:t>) of Reg. 2, the Petroleum and Natural Gas Regulatory Board (Levy of Fee and Other Charges) Amendment Regulations, 2022 (w.e.f. 02.08.2022)</w:t>
      </w:r>
    </w:p>
  </w:footnote>
  <w:footnote w:id="6">
    <w:p w14:paraId="48D838A4" w14:textId="099FD938" w:rsidR="003A70C8" w:rsidRPr="005A5FA4" w:rsidRDefault="003A70C8" w:rsidP="005D3C13">
      <w:pPr>
        <w:pStyle w:val="FootnoteText"/>
        <w:jc w:val="both"/>
        <w:rPr>
          <w:rFonts w:ascii="Times New Roman" w:hAnsi="Times New Roman"/>
        </w:rPr>
      </w:pPr>
      <w:r w:rsidRPr="005A5FA4">
        <w:rPr>
          <w:rStyle w:val="FootnoteReference"/>
          <w:rFonts w:ascii="Times New Roman" w:hAnsi="Times New Roman"/>
        </w:rPr>
        <w:footnoteRef/>
      </w:r>
      <w:r w:rsidRPr="005A5FA4">
        <w:rPr>
          <w:rFonts w:ascii="Times New Roman" w:hAnsi="Times New Roman"/>
        </w:rPr>
        <w:t xml:space="preserve"> Ins. by Cl. (</w:t>
      </w:r>
      <w:proofErr w:type="spellStart"/>
      <w:r w:rsidRPr="005A5FA4">
        <w:rPr>
          <w:rFonts w:ascii="Times New Roman" w:hAnsi="Times New Roman"/>
        </w:rPr>
        <w:t>i</w:t>
      </w:r>
      <w:proofErr w:type="spellEnd"/>
      <w:r w:rsidRPr="005A5FA4">
        <w:rPr>
          <w:rFonts w:ascii="Times New Roman" w:hAnsi="Times New Roman"/>
        </w:rPr>
        <w:t>) of Reg. 2, the Petroleum and Natural Gas Regulatory Board (Levy of Fee and Other Charges) Amendment Regulations, 2021 (w.e.f. 27.08.2021)</w:t>
      </w:r>
    </w:p>
  </w:footnote>
  <w:footnote w:id="7">
    <w:p w14:paraId="1ED8B434" w14:textId="199D04B2" w:rsidR="003A70C8" w:rsidRPr="003A70C8" w:rsidRDefault="003A70C8" w:rsidP="005D3C13">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w:t>
      </w:r>
      <w:r w:rsidR="002079AD">
        <w:rPr>
          <w:rFonts w:ascii="Times New Roman" w:hAnsi="Times New Roman"/>
        </w:rPr>
        <w:t>Ins</w:t>
      </w:r>
      <w:r>
        <w:rPr>
          <w:rFonts w:ascii="Times New Roman" w:hAnsi="Times New Roman"/>
        </w:rPr>
        <w:t xml:space="preserve">. </w:t>
      </w:r>
      <w:r w:rsidRPr="003A70C8">
        <w:rPr>
          <w:rFonts w:ascii="Times New Roman" w:hAnsi="Times New Roman"/>
        </w:rPr>
        <w:t>by Cl. (i</w:t>
      </w:r>
      <w:r>
        <w:rPr>
          <w:rFonts w:ascii="Times New Roman" w:hAnsi="Times New Roman"/>
        </w:rPr>
        <w:t>i</w:t>
      </w:r>
      <w:r w:rsidRPr="003A70C8">
        <w:rPr>
          <w:rFonts w:ascii="Times New Roman" w:hAnsi="Times New Roman"/>
        </w:rPr>
        <w:t>) of Reg. 2, the Petroleum and Natural Gas Regulatory Board (Levy of Fee and Other Charges) Amendment Regulations, 2021 (w.e.f. 27.08.2021)</w:t>
      </w:r>
      <w:r>
        <w:rPr>
          <w:rFonts w:ascii="Times New Roman" w:hAnsi="Times New Roman"/>
        </w:rPr>
        <w:t>.</w:t>
      </w:r>
    </w:p>
  </w:footnote>
  <w:footnote w:id="8">
    <w:p w14:paraId="249543BE" w14:textId="1F3B26D0" w:rsidR="00DE6176" w:rsidRPr="003A70C8" w:rsidRDefault="00DE6176" w:rsidP="005D3C13">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sub-cl (B) of Cl (ii</w:t>
      </w:r>
      <w:r w:rsidR="003A70C8">
        <w:rPr>
          <w:rFonts w:ascii="Times New Roman" w:hAnsi="Times New Roman"/>
        </w:rPr>
        <w:t xml:space="preserve">) of sub reg. (b) of reg. </w:t>
      </w:r>
      <w:proofErr w:type="gramStart"/>
      <w:r w:rsidR="003A70C8">
        <w:rPr>
          <w:rFonts w:ascii="Times New Roman" w:hAnsi="Times New Roman"/>
        </w:rPr>
        <w:t>2,</w:t>
      </w:r>
      <w:r w:rsidRPr="003A70C8">
        <w:rPr>
          <w:rFonts w:ascii="Times New Roman" w:hAnsi="Times New Roman"/>
        </w:rPr>
        <w:t>,</w:t>
      </w:r>
      <w:proofErr w:type="gramEnd"/>
      <w:r w:rsidRPr="003A70C8">
        <w:rPr>
          <w:rFonts w:ascii="Times New Roman" w:hAnsi="Times New Roman"/>
        </w:rPr>
        <w:t xml:space="preserve"> the Petroleum and Natural Gas Regulatory Board (Levy of Fee and Other Charges) Second Amendment Regulations, 2020 (w.e.f. 28.09.2020).</w:t>
      </w:r>
    </w:p>
  </w:footnote>
  <w:footnote w:id="9">
    <w:p w14:paraId="404B65FA" w14:textId="4720196C" w:rsidR="005D3C13" w:rsidRPr="005D3C13" w:rsidRDefault="005D3C13" w:rsidP="005D3C13">
      <w:pPr>
        <w:pStyle w:val="FootnoteText"/>
        <w:jc w:val="both"/>
        <w:rPr>
          <w:lang w:val="en-US"/>
        </w:rPr>
      </w:pPr>
      <w:r>
        <w:rPr>
          <w:rStyle w:val="FootnoteReference"/>
        </w:rPr>
        <w:footnoteRef/>
      </w:r>
      <w:r>
        <w:t xml:space="preserve"> </w:t>
      </w:r>
      <w:r w:rsidRPr="005D3C13">
        <w:rPr>
          <w:rFonts w:ascii="Times New Roman" w:hAnsi="Times New Roman"/>
        </w:rPr>
        <w:t xml:space="preserve">Subs by Cl(a) of Reg. 2, </w:t>
      </w:r>
      <w:r w:rsidRPr="005D3C13">
        <w:rPr>
          <w:rFonts w:ascii="Times New Roman" w:hAnsi="Times New Roman"/>
        </w:rPr>
        <w:t>the Petroleum and Natural Gas Regulatory Board (Levy of Fee and Other Charges) Amendment Regulations, 2025.</w:t>
      </w:r>
      <w:r w:rsidRPr="005D3C13">
        <w:rPr>
          <w:rFonts w:ascii="Times New Roman" w:hAnsi="Times New Roman"/>
        </w:rPr>
        <w:t xml:space="preserve"> (w.e.f. 14.07.2025).</w:t>
      </w:r>
    </w:p>
  </w:footnote>
  <w:footnote w:id="10">
    <w:p w14:paraId="29308BC4" w14:textId="357C2F28" w:rsidR="005F49A2" w:rsidRDefault="005F49A2" w:rsidP="005D3C13">
      <w:pPr>
        <w:pStyle w:val="FootnoteText"/>
        <w:jc w:val="both"/>
      </w:pPr>
      <w:r>
        <w:rPr>
          <w:rStyle w:val="FootnoteReference"/>
        </w:rPr>
        <w:footnoteRef/>
      </w:r>
      <w:r>
        <w:t xml:space="preserve"> </w:t>
      </w:r>
      <w:r w:rsidRPr="003A70C8">
        <w:rPr>
          <w:rFonts w:ascii="Times New Roman" w:hAnsi="Times New Roman"/>
        </w:rPr>
        <w:t>Ins. by Cl. (i</w:t>
      </w:r>
      <w:r>
        <w:rPr>
          <w:rFonts w:ascii="Times New Roman" w:hAnsi="Times New Roman"/>
        </w:rPr>
        <w:t>i</w:t>
      </w:r>
      <w:r w:rsidRPr="003A70C8">
        <w:rPr>
          <w:rFonts w:ascii="Times New Roman" w:hAnsi="Times New Roman"/>
        </w:rPr>
        <w:t>) of Reg. 2, the Petroleum and Natural Gas Regulatory Board (Levy of Fee and Other Char</w:t>
      </w:r>
      <w:r>
        <w:rPr>
          <w:rFonts w:ascii="Times New Roman" w:hAnsi="Times New Roman"/>
        </w:rPr>
        <w:t>ges) Amendment Regulations, 2022</w:t>
      </w:r>
      <w:r w:rsidRPr="003A70C8">
        <w:rPr>
          <w:rFonts w:ascii="Times New Roman" w:hAnsi="Times New Roman"/>
        </w:rPr>
        <w:t xml:space="preserve"> (w.e.f. </w:t>
      </w:r>
      <w:r>
        <w:rPr>
          <w:rFonts w:ascii="Times New Roman" w:hAnsi="Times New Roman"/>
        </w:rPr>
        <w:t>02.08.2022</w:t>
      </w:r>
      <w:r w:rsidRPr="003A70C8">
        <w:rPr>
          <w:rFonts w:ascii="Times New Roman" w:hAnsi="Times New Roman"/>
        </w:rPr>
        <w:t>)</w:t>
      </w:r>
      <w:r w:rsidR="005D3C13">
        <w:rPr>
          <w:rFonts w:ascii="Times New Roman" w:hAnsi="Times New Roman"/>
        </w:rPr>
        <w:t>.</w:t>
      </w:r>
    </w:p>
  </w:footnote>
  <w:footnote w:id="11">
    <w:p w14:paraId="4D3795F6" w14:textId="00B655D4" w:rsidR="005D3C13" w:rsidRPr="005D3C13" w:rsidRDefault="005D3C13" w:rsidP="005D3C13">
      <w:pPr>
        <w:pStyle w:val="FootnoteText"/>
        <w:jc w:val="both"/>
        <w:rPr>
          <w:lang w:val="en-US"/>
        </w:rPr>
      </w:pPr>
      <w:r>
        <w:rPr>
          <w:rStyle w:val="FootnoteReference"/>
        </w:rPr>
        <w:footnoteRef/>
      </w:r>
      <w:r>
        <w:t xml:space="preserve"> </w:t>
      </w:r>
      <w:r w:rsidRPr="005D3C13">
        <w:rPr>
          <w:rFonts w:ascii="Times New Roman" w:hAnsi="Times New Roman"/>
        </w:rPr>
        <w:t>Subs by Cl(a) of Reg. 2, the Petroleum and Natural Gas Regulatory Board (Levy of Fee and Other Charges) Amendment Regulations, 2025. (w.e.f. 14.07.2025).</w:t>
      </w:r>
    </w:p>
  </w:footnote>
  <w:footnote w:id="12">
    <w:p w14:paraId="0E5221BD" w14:textId="149161CA" w:rsidR="005D3C13" w:rsidRPr="005D3C13" w:rsidRDefault="005D3C13" w:rsidP="005D3C13">
      <w:pPr>
        <w:pStyle w:val="FootnoteText"/>
        <w:jc w:val="both"/>
        <w:rPr>
          <w:lang w:val="en-US"/>
        </w:rPr>
      </w:pPr>
      <w:r>
        <w:rPr>
          <w:rStyle w:val="FootnoteReference"/>
        </w:rPr>
        <w:footnoteRef/>
      </w:r>
      <w:r>
        <w:t xml:space="preserve"> </w:t>
      </w:r>
      <w:r w:rsidR="00AF621A" w:rsidRPr="005D3C13">
        <w:rPr>
          <w:rFonts w:ascii="Times New Roman" w:hAnsi="Times New Roman"/>
        </w:rPr>
        <w:t>Subs by Cl(a) of Reg. 2, the Petroleum and Natural Gas Regulatory Board (Levy of Fee and Other Charges) Amendment Regulations, 2025. (w.e.f. 14.07.2025).</w:t>
      </w:r>
    </w:p>
  </w:footnote>
  <w:footnote w:id="13">
    <w:p w14:paraId="34D8BF1F" w14:textId="77777777" w:rsidR="00DE6176" w:rsidRPr="003A70C8" w:rsidRDefault="00DE6176" w:rsidP="005D3C13">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Subs. by sub reg. (b) of reg. 2, </w:t>
      </w:r>
      <w:r w:rsidRPr="003A70C8">
        <w:rPr>
          <w:rFonts w:ascii="Times New Roman" w:hAnsi="Times New Roman"/>
          <w:i/>
          <w:iCs/>
        </w:rPr>
        <w:t>ibid.</w:t>
      </w:r>
      <w:r w:rsidRPr="003A70C8">
        <w:rPr>
          <w:rFonts w:ascii="Times New Roman" w:hAnsi="Times New Roman"/>
        </w:rPr>
        <w:t xml:space="preserve"> (w.e.f. 03.01.2019).</w:t>
      </w:r>
    </w:p>
  </w:footnote>
  <w:footnote w:id="14">
    <w:p w14:paraId="105B9507" w14:textId="369AECF8" w:rsidR="00DE6176" w:rsidRPr="003A70C8" w:rsidRDefault="00DE6176" w:rsidP="005D3C13">
      <w:pPr>
        <w:pStyle w:val="FootnoteText"/>
        <w:jc w:val="both"/>
        <w:rPr>
          <w:rFonts w:ascii="Times New Roman" w:hAnsi="Times New Roman"/>
          <w:lang w:val="en-US"/>
        </w:rPr>
      </w:pPr>
      <w:r w:rsidRPr="003A70C8">
        <w:rPr>
          <w:rStyle w:val="FootnoteReference"/>
          <w:rFonts w:ascii="Times New Roman" w:hAnsi="Times New Roman"/>
        </w:rPr>
        <w:footnoteRef/>
      </w:r>
      <w:r w:rsidR="000476A5">
        <w:rPr>
          <w:rFonts w:ascii="Times New Roman" w:hAnsi="Times New Roman"/>
        </w:rPr>
        <w:t xml:space="preserve"> Subs</w:t>
      </w:r>
      <w:r w:rsidRPr="003A70C8">
        <w:rPr>
          <w:rFonts w:ascii="Times New Roman" w:hAnsi="Times New Roman"/>
        </w:rPr>
        <w:t>. by Cl (i</w:t>
      </w:r>
      <w:r w:rsidR="00832C63">
        <w:rPr>
          <w:rFonts w:ascii="Times New Roman" w:hAnsi="Times New Roman"/>
        </w:rPr>
        <w:t>ii</w:t>
      </w:r>
      <w:r w:rsidRPr="003A70C8">
        <w:rPr>
          <w:rFonts w:ascii="Times New Roman" w:hAnsi="Times New Roman"/>
        </w:rPr>
        <w:t>) of reg. 2, the Petroleum and Natural Gas Regulatory Board (Levy of Fee and Other Charges)</w:t>
      </w:r>
      <w:r w:rsidR="00832C63">
        <w:rPr>
          <w:rFonts w:ascii="Times New Roman" w:hAnsi="Times New Roman"/>
        </w:rPr>
        <w:t xml:space="preserve"> </w:t>
      </w:r>
      <w:r w:rsidRPr="003A70C8">
        <w:rPr>
          <w:rFonts w:ascii="Times New Roman" w:hAnsi="Times New Roman"/>
        </w:rPr>
        <w:t>Amendment Regulations, 202</w:t>
      </w:r>
      <w:r w:rsidR="00832C63">
        <w:rPr>
          <w:rFonts w:ascii="Times New Roman" w:hAnsi="Times New Roman"/>
        </w:rPr>
        <w:t>2</w:t>
      </w:r>
      <w:r w:rsidRPr="003A70C8">
        <w:rPr>
          <w:rFonts w:ascii="Times New Roman" w:hAnsi="Times New Roman"/>
        </w:rPr>
        <w:t xml:space="preserve"> (w.e.f. </w:t>
      </w:r>
      <w:r w:rsidR="00832C63">
        <w:rPr>
          <w:rFonts w:ascii="Times New Roman" w:hAnsi="Times New Roman"/>
        </w:rPr>
        <w:t>02</w:t>
      </w:r>
      <w:r w:rsidRPr="003A70C8">
        <w:rPr>
          <w:rFonts w:ascii="Times New Roman" w:hAnsi="Times New Roman"/>
        </w:rPr>
        <w:t>.0</w:t>
      </w:r>
      <w:r w:rsidR="00832C63">
        <w:rPr>
          <w:rFonts w:ascii="Times New Roman" w:hAnsi="Times New Roman"/>
        </w:rPr>
        <w:t>8</w:t>
      </w:r>
      <w:r w:rsidRPr="003A70C8">
        <w:rPr>
          <w:rFonts w:ascii="Times New Roman" w:hAnsi="Times New Roman"/>
        </w:rPr>
        <w:t>.202</w:t>
      </w:r>
      <w:r w:rsidR="00832C63">
        <w:rPr>
          <w:rFonts w:ascii="Times New Roman" w:hAnsi="Times New Roman"/>
        </w:rPr>
        <w:t>2</w:t>
      </w:r>
      <w:r w:rsidRPr="003A70C8">
        <w:rPr>
          <w:rFonts w:ascii="Times New Roman" w:hAnsi="Times New Roman"/>
        </w:rPr>
        <w:t>).</w:t>
      </w:r>
    </w:p>
  </w:footnote>
  <w:footnote w:id="15">
    <w:p w14:paraId="4DD19DE8" w14:textId="0C0D2AF0" w:rsidR="00B82531" w:rsidRPr="003A70C8" w:rsidRDefault="00B82531" w:rsidP="005D3C13">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Cl (ii) of sub reg. (c) of reg. 2, the Petroleum and Natural Gas Regulatory Board (Levy of Fee and Other Charges) Second Amendment Regulations, 2020 (w.e.f. 28.09.2020).</w:t>
      </w:r>
    </w:p>
  </w:footnote>
  <w:footnote w:id="16">
    <w:p w14:paraId="7A28C5D9" w14:textId="77777777" w:rsidR="00DE6176" w:rsidRPr="003A70C8" w:rsidRDefault="00DE6176" w:rsidP="005D3C13">
      <w:pPr>
        <w:pStyle w:val="FootnoteText"/>
        <w:jc w:val="both"/>
        <w:rPr>
          <w:rFonts w:ascii="Times New Roman" w:hAnsi="Times New Roman"/>
        </w:rPr>
      </w:pPr>
      <w:r w:rsidRPr="003A70C8">
        <w:rPr>
          <w:rStyle w:val="FootnoteReference"/>
          <w:rFonts w:ascii="Times New Roman" w:hAnsi="Times New Roman"/>
        </w:rPr>
        <w:footnoteRef/>
      </w:r>
      <w:r w:rsidRPr="003A70C8">
        <w:rPr>
          <w:rFonts w:ascii="Times New Roman" w:hAnsi="Times New Roman"/>
        </w:rPr>
        <w:t xml:space="preserve"> Subs. by Reg. 2, the Petroleum and Natural Gas Regulatory Board (Levy of Fee and Other Charges) Amendment Regulations, 2020, for ‘Reg 7’, (w.e.f. 13.05.2020).  </w:t>
      </w:r>
    </w:p>
  </w:footnote>
  <w:footnote w:id="17">
    <w:p w14:paraId="3708B223" w14:textId="2243D2CE" w:rsidR="00B82531" w:rsidRPr="003A70C8" w:rsidRDefault="00B82531" w:rsidP="005D3C13">
      <w:pPr>
        <w:pStyle w:val="FootnoteText"/>
        <w:jc w:val="both"/>
        <w:rPr>
          <w:rFonts w:ascii="Times New Roman" w:hAnsi="Times New Roman"/>
          <w:lang w:val="en-US"/>
        </w:rPr>
      </w:pPr>
      <w:r w:rsidRPr="003A70C8">
        <w:rPr>
          <w:rStyle w:val="FootnoteReference"/>
          <w:rFonts w:ascii="Times New Roman" w:hAnsi="Times New Roman"/>
        </w:rPr>
        <w:footnoteRef/>
      </w:r>
      <w:r w:rsidRPr="003A70C8">
        <w:rPr>
          <w:rFonts w:ascii="Times New Roman" w:hAnsi="Times New Roman"/>
        </w:rPr>
        <w:t xml:space="preserve"> Ins. by sub reg. (d) of reg. 2, the Petroleum and Natural Gas Regulatory Board (Levy of Fee and Other Charges) Second Amendment Regulations, 2020 (w.e.f. 28.09.2020).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448"/>
    <w:multiLevelType w:val="hybridMultilevel"/>
    <w:tmpl w:val="E56CEE9A"/>
    <w:lvl w:ilvl="0" w:tplc="EA1495EC">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460EFD"/>
    <w:multiLevelType w:val="hybridMultilevel"/>
    <w:tmpl w:val="2AA2D882"/>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9C2D0A"/>
    <w:multiLevelType w:val="hybridMultilevel"/>
    <w:tmpl w:val="3892C69E"/>
    <w:lvl w:ilvl="0" w:tplc="16CA81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A87280"/>
    <w:multiLevelType w:val="hybridMultilevel"/>
    <w:tmpl w:val="B80C1EB0"/>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A453B4"/>
    <w:multiLevelType w:val="hybridMultilevel"/>
    <w:tmpl w:val="73C6D890"/>
    <w:lvl w:ilvl="0" w:tplc="09A41F06">
      <w:start w:val="1"/>
      <w:numFmt w:val="upperLetter"/>
      <w:lvlText w:val="(%1)"/>
      <w:lvlJc w:val="left"/>
      <w:pPr>
        <w:ind w:left="1109" w:hanging="390"/>
      </w:pPr>
      <w:rPr>
        <w:rFonts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5" w15:restartNumberingAfterBreak="0">
    <w:nsid w:val="2646748C"/>
    <w:multiLevelType w:val="hybridMultilevel"/>
    <w:tmpl w:val="61266C9C"/>
    <w:lvl w:ilvl="0" w:tplc="E95604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B0C2105"/>
    <w:multiLevelType w:val="hybridMultilevel"/>
    <w:tmpl w:val="A0E285BA"/>
    <w:lvl w:ilvl="0" w:tplc="AA9838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E203777"/>
    <w:multiLevelType w:val="hybridMultilevel"/>
    <w:tmpl w:val="4574DF74"/>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9F011F"/>
    <w:multiLevelType w:val="hybridMultilevel"/>
    <w:tmpl w:val="22406820"/>
    <w:lvl w:ilvl="0" w:tplc="D19602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4B54F2"/>
    <w:multiLevelType w:val="hybridMultilevel"/>
    <w:tmpl w:val="B602F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DD20A96"/>
    <w:multiLevelType w:val="hybridMultilevel"/>
    <w:tmpl w:val="36AE35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0085EB6"/>
    <w:multiLevelType w:val="hybridMultilevel"/>
    <w:tmpl w:val="49522C46"/>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AB7566"/>
    <w:multiLevelType w:val="hybridMultilevel"/>
    <w:tmpl w:val="97541E68"/>
    <w:lvl w:ilvl="0" w:tplc="C0AC36B2">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15:restartNumberingAfterBreak="0">
    <w:nsid w:val="63FA464F"/>
    <w:multiLevelType w:val="hybridMultilevel"/>
    <w:tmpl w:val="6BA885A8"/>
    <w:lvl w:ilvl="0" w:tplc="E8D491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F55FE6"/>
    <w:multiLevelType w:val="hybridMultilevel"/>
    <w:tmpl w:val="A356B2B6"/>
    <w:lvl w:ilvl="0" w:tplc="E95604A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EB713E"/>
    <w:multiLevelType w:val="hybridMultilevel"/>
    <w:tmpl w:val="5A1413FE"/>
    <w:lvl w:ilvl="0" w:tplc="205E0804">
      <w:start w:val="2"/>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7C1544"/>
    <w:multiLevelType w:val="hybridMultilevel"/>
    <w:tmpl w:val="0EB0E70C"/>
    <w:lvl w:ilvl="0" w:tplc="86C83844">
      <w:start w:val="8"/>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10778AB"/>
    <w:multiLevelType w:val="hybridMultilevel"/>
    <w:tmpl w:val="140E9AD0"/>
    <w:lvl w:ilvl="0" w:tplc="B6929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800B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A694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A0B3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3D2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A30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68F1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8503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E5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65B55F5"/>
    <w:multiLevelType w:val="hybridMultilevel"/>
    <w:tmpl w:val="818EC69C"/>
    <w:lvl w:ilvl="0" w:tplc="2B18A6C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7F5F87"/>
    <w:multiLevelType w:val="hybridMultilevel"/>
    <w:tmpl w:val="2AF09782"/>
    <w:lvl w:ilvl="0" w:tplc="E014E0DC">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07642950">
    <w:abstractNumId w:val="13"/>
  </w:num>
  <w:num w:numId="2" w16cid:durableId="1606304948">
    <w:abstractNumId w:val="5"/>
  </w:num>
  <w:num w:numId="3" w16cid:durableId="2144230999">
    <w:abstractNumId w:val="9"/>
  </w:num>
  <w:num w:numId="4" w16cid:durableId="1363943665">
    <w:abstractNumId w:val="10"/>
  </w:num>
  <w:num w:numId="5" w16cid:durableId="534122012">
    <w:abstractNumId w:val="2"/>
  </w:num>
  <w:num w:numId="6" w16cid:durableId="2080053832">
    <w:abstractNumId w:val="8"/>
  </w:num>
  <w:num w:numId="7" w16cid:durableId="205534840">
    <w:abstractNumId w:val="18"/>
  </w:num>
  <w:num w:numId="8" w16cid:durableId="1890876315">
    <w:abstractNumId w:val="0"/>
  </w:num>
  <w:num w:numId="9" w16cid:durableId="1104499929">
    <w:abstractNumId w:val="7"/>
  </w:num>
  <w:num w:numId="10" w16cid:durableId="1190724211">
    <w:abstractNumId w:val="1"/>
  </w:num>
  <w:num w:numId="11" w16cid:durableId="145754615">
    <w:abstractNumId w:val="3"/>
  </w:num>
  <w:num w:numId="12" w16cid:durableId="1140461975">
    <w:abstractNumId w:val="19"/>
  </w:num>
  <w:num w:numId="13" w16cid:durableId="242223519">
    <w:abstractNumId w:val="4"/>
  </w:num>
  <w:num w:numId="14" w16cid:durableId="1373650504">
    <w:abstractNumId w:val="12"/>
  </w:num>
  <w:num w:numId="15" w16cid:durableId="430200191">
    <w:abstractNumId w:val="15"/>
  </w:num>
  <w:num w:numId="16" w16cid:durableId="1710033701">
    <w:abstractNumId w:val="14"/>
  </w:num>
  <w:num w:numId="17" w16cid:durableId="1790976834">
    <w:abstractNumId w:val="11"/>
  </w:num>
  <w:num w:numId="18" w16cid:durableId="1396472701">
    <w:abstractNumId w:val="17"/>
  </w:num>
  <w:num w:numId="19" w16cid:durableId="682441377">
    <w:abstractNumId w:val="16"/>
  </w:num>
  <w:num w:numId="20" w16cid:durableId="139615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76"/>
    <w:rsid w:val="000476A5"/>
    <w:rsid w:val="000B776A"/>
    <w:rsid w:val="00146D0F"/>
    <w:rsid w:val="002079AD"/>
    <w:rsid w:val="00217723"/>
    <w:rsid w:val="0022599F"/>
    <w:rsid w:val="00251889"/>
    <w:rsid w:val="003A70C8"/>
    <w:rsid w:val="00510820"/>
    <w:rsid w:val="005A5FA4"/>
    <w:rsid w:val="005D3C13"/>
    <w:rsid w:val="005F49A2"/>
    <w:rsid w:val="0067151A"/>
    <w:rsid w:val="0079151D"/>
    <w:rsid w:val="00832C63"/>
    <w:rsid w:val="00901B98"/>
    <w:rsid w:val="009129F9"/>
    <w:rsid w:val="00AD6A55"/>
    <w:rsid w:val="00AF621A"/>
    <w:rsid w:val="00B2493C"/>
    <w:rsid w:val="00B82531"/>
    <w:rsid w:val="00BC33F2"/>
    <w:rsid w:val="00C64B8E"/>
    <w:rsid w:val="00C77C50"/>
    <w:rsid w:val="00DE6176"/>
    <w:rsid w:val="00F00BF2"/>
    <w:rsid w:val="00F50DC3"/>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48B1"/>
  <w15:chartTrackingRefBased/>
  <w15:docId w15:val="{89BA258C-C607-40C1-AB07-39497F95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76"/>
    <w:pPr>
      <w:spacing w:after="200" w:line="276" w:lineRule="auto"/>
    </w:pPr>
    <w:rPr>
      <w:rFonts w:ascii="Calibri" w:eastAsia="Calibri" w:hAnsi="Calibri" w:cs="Times New Roman"/>
      <w:szCs w:val="22"/>
      <w:lang w:val="en-IN" w:bidi="ar-SA"/>
    </w:rPr>
  </w:style>
  <w:style w:type="paragraph" w:styleId="Heading1">
    <w:name w:val="heading 1"/>
    <w:next w:val="Normal"/>
    <w:link w:val="Heading1Char"/>
    <w:uiPriority w:val="9"/>
    <w:qFormat/>
    <w:rsid w:val="00B82531"/>
    <w:pPr>
      <w:keepNext/>
      <w:keepLines/>
      <w:spacing w:after="218"/>
      <w:ind w:left="10" w:right="51" w:hanging="10"/>
      <w:jc w:val="center"/>
      <w:outlineLvl w:val="0"/>
    </w:pPr>
    <w:rPr>
      <w:rFonts w:ascii="Times New Roman" w:eastAsia="Times New Roman" w:hAnsi="Times New Roman" w:cs="Times New Roman"/>
      <w:b/>
      <w:color w:val="000000"/>
      <w:sz w:val="24"/>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76"/>
    <w:pPr>
      <w:ind w:left="720"/>
    </w:pPr>
  </w:style>
  <w:style w:type="paragraph" w:styleId="Footer">
    <w:name w:val="footer"/>
    <w:basedOn w:val="Normal"/>
    <w:link w:val="FooterChar"/>
    <w:uiPriority w:val="99"/>
    <w:unhideWhenUsed/>
    <w:rsid w:val="00DE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76"/>
    <w:rPr>
      <w:rFonts w:ascii="Calibri" w:eastAsia="Calibri" w:hAnsi="Calibri" w:cs="Times New Roman"/>
      <w:szCs w:val="22"/>
      <w:lang w:val="en-IN" w:bidi="ar-SA"/>
    </w:rPr>
  </w:style>
  <w:style w:type="paragraph" w:styleId="FootnoteText">
    <w:name w:val="footnote text"/>
    <w:basedOn w:val="Normal"/>
    <w:link w:val="FootnoteTextChar"/>
    <w:uiPriority w:val="99"/>
    <w:semiHidden/>
    <w:unhideWhenUsed/>
    <w:rsid w:val="00DE6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176"/>
    <w:rPr>
      <w:rFonts w:ascii="Calibri" w:eastAsia="Calibri" w:hAnsi="Calibri" w:cs="Times New Roman"/>
      <w:sz w:val="20"/>
      <w:lang w:val="en-IN" w:bidi="ar-SA"/>
    </w:rPr>
  </w:style>
  <w:style w:type="character" w:styleId="FootnoteReference">
    <w:name w:val="footnote reference"/>
    <w:uiPriority w:val="99"/>
    <w:semiHidden/>
    <w:unhideWhenUsed/>
    <w:rsid w:val="00DE6176"/>
    <w:rPr>
      <w:vertAlign w:val="superscript"/>
    </w:rPr>
  </w:style>
  <w:style w:type="table" w:customStyle="1" w:styleId="TableGrid">
    <w:name w:val="TableGrid"/>
    <w:rsid w:val="00DE6176"/>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82531"/>
    <w:rPr>
      <w:rFonts w:ascii="Times New Roman" w:eastAsia="Times New Roman" w:hAnsi="Times New Roman" w:cs="Times New Roman"/>
      <w:b/>
      <w:color w:val="000000"/>
      <w:sz w:val="24"/>
      <w:lang w:val="en-IN" w:eastAsia="en-IN"/>
    </w:rPr>
  </w:style>
  <w:style w:type="paragraph" w:styleId="BalloonText">
    <w:name w:val="Balloon Text"/>
    <w:basedOn w:val="Normal"/>
    <w:link w:val="BalloonTextChar"/>
    <w:uiPriority w:val="99"/>
    <w:semiHidden/>
    <w:unhideWhenUsed/>
    <w:rsid w:val="005A5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FA4"/>
    <w:rPr>
      <w:rFonts w:ascii="Segoe UI" w:eastAsia="Calibri" w:hAnsi="Segoe UI" w:cs="Segoe UI"/>
      <w:sz w:val="18"/>
      <w:szCs w:val="18"/>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Harshita Tomar</cp:lastModifiedBy>
  <cp:revision>18</cp:revision>
  <cp:lastPrinted>2025-12-24T10:08:00Z</cp:lastPrinted>
  <dcterms:created xsi:type="dcterms:W3CDTF">2020-10-13T10:22:00Z</dcterms:created>
  <dcterms:modified xsi:type="dcterms:W3CDTF">2025-12-24T10:08:00Z</dcterms:modified>
</cp:coreProperties>
</file>